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楷体_GB2312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 xml:space="preserve"> 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医联体综合绩效考核指标体系</w:t>
      </w:r>
      <w:bookmarkEnd w:id="0"/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（医联体）</w:t>
      </w:r>
    </w:p>
    <w:tbl>
      <w:tblPr>
        <w:tblStyle w:val="4"/>
        <w:tblW w:w="1598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01"/>
        <w:gridCol w:w="489"/>
        <w:gridCol w:w="3833"/>
        <w:gridCol w:w="405"/>
        <w:gridCol w:w="802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tblHeader/>
        </w:trPr>
        <w:tc>
          <w:tcPr>
            <w:tcW w:w="1170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一级指标</w:t>
            </w:r>
          </w:p>
        </w:tc>
        <w:tc>
          <w:tcPr>
            <w:tcW w:w="1401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二级指标</w:t>
            </w:r>
          </w:p>
        </w:tc>
        <w:tc>
          <w:tcPr>
            <w:tcW w:w="489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序号</w:t>
            </w:r>
          </w:p>
        </w:tc>
        <w:tc>
          <w:tcPr>
            <w:tcW w:w="3833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三级指标</w:t>
            </w:r>
          </w:p>
        </w:tc>
        <w:tc>
          <w:tcPr>
            <w:tcW w:w="405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分值</w:t>
            </w:r>
          </w:p>
        </w:tc>
        <w:tc>
          <w:tcPr>
            <w:tcW w:w="8025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评分方法</w:t>
            </w:r>
          </w:p>
        </w:tc>
        <w:tc>
          <w:tcPr>
            <w:tcW w:w="660" w:type="dxa"/>
            <w:shd w:val="clear" w:color="auto" w:fill="BEBEB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1"/>
              </w:rPr>
              <w:t>自评分值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1.组织实施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（15分）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1.1完善制度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医联体建设的工作方案出台情况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制定医联体建设工作方案，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0%得分；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1"/>
                <w:highlight w:val="none"/>
              </w:rPr>
              <w:t>组建为一个独立法人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1.2规划实施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医联体组成情况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医联体内有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市、县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级医院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（含中医院）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、专科医院和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基层医疗机构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，40%得分；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医联体内还包括专业公共卫生机构（如妇幼保健院、专科疾病防治院所等）或其他医疗卫生机构（如康复院、老人院等），40%得分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包括社会力量举办的医疗机构、护理院或康复医院，20%得分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1.3人员激励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制定与医联体相适应的绩效工资政策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医联体内统筹薪酬分配，50%得分；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制定有利于人员向基层倾斜的绩效工资政策，50%得分。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1.4考核激励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医联体内促进医疗资源整合和下沉的考核和激励机制建立情况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医联体内统一人事、财务和设备等医疗资源的管理，50%得分；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牵头医院医务人员下沉可获得额外绩效奖励或是考核/晋升职称的条件，50%得分。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2.分工协作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（12分）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2.1建立协作制度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医联体内建立医疗质量同质化管理制度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医联体内建立医疗质量同质化管理制度，100%得分。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医联体建立双向转诊标准与程序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规范化双向转诊程序，50%得分；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规范化双向转诊标准/指征，50%得分。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医联体建立药学服务联合协作工作制度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医联体建立药学服务联合协作工作制度，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2.2连续性医疗服务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为患者提供全流程的健康连续性服务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机构的功能定位和职能分工中涵盖上述服务，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共同</w:t>
            </w:r>
            <w:r>
              <w:rPr>
                <w:rFonts w:hint="default" w:ascii="Times New Roman" w:hAnsi="Times New Roman" w:eastAsia="宋体" w:cs="Times New Roman"/>
                <w:sz w:val="22"/>
                <w:szCs w:val="21"/>
                <w:lang w:val="zh-CN"/>
              </w:rPr>
              <w:t>落实</w:t>
            </w:r>
            <w:r>
              <w:rPr>
                <w:rFonts w:hint="default" w:ascii="Times New Roman" w:hAnsi="Times New Roman" w:eastAsia="宋体" w:cs="Times New Roman"/>
                <w:sz w:val="22"/>
                <w:szCs w:val="21"/>
                <w:lang w:val="zh-CN" w:eastAsia="zh-CN"/>
              </w:rPr>
              <w:t>好</w:t>
            </w:r>
            <w:r>
              <w:rPr>
                <w:rFonts w:hint="default" w:ascii="Times New Roman" w:hAnsi="Times New Roman" w:eastAsia="宋体" w:cs="Times New Roman"/>
                <w:sz w:val="22"/>
                <w:szCs w:val="21"/>
                <w:lang w:val="zh-CN"/>
              </w:rPr>
              <w:t>生育全程基本医疗保健服务</w:t>
            </w:r>
            <w:r>
              <w:rPr>
                <w:rFonts w:hint="default" w:ascii="Times New Roman" w:hAnsi="Times New Roman" w:eastAsia="宋体" w:cs="Times New Roman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上级医院对转诊患者提供优先接诊、优先检查、优先住院等服务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上级医院制度规定对转诊患者提供优先接诊、检查和住院服务，50%得分；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上级医院为转诊患者设置绿色通道以便接诊、检查和住院，50%得分。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3.1基层帮扶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医联体内上级医院派医务人员到基层医疗机构开展专科共建、临床带教、医疗和公卫业务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、教学查房、科研和项目协作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、高级人才培养、设立慢病联合门诊及联动病床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等业务情况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医联体牵头医院与成员机构间制定专科共建、临床带教、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医疗和公卫业务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、教学查房、科研和项目协作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、高级人才培养、设立慢病联合门诊及联动病床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等业务合作的制度，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医联体牵头医院与成员机构间实际开展专科共建、临床带教、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医疗和公卫业务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、教学查房、科研和项目协作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、高级人才培养、设立慢病联合门诊及联动病床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业务合作，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3.医疗资源上下贯通（13分）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3.2统一信息平台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医联体内电子健康档案和电子病历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电子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处方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的连续记录和居民健康信息共享情况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医联体内医院具备电子健康档案和电子病历系统，20%得分；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医联体内社区卫生服务中心/乡镇卫生院具备电子健康档案和电子病历系统，20%得分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医联体内医院间电子病历系统联通，30%得分；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医联体内医院与社区卫生服务中心/乡镇卫生院间联通电子病历系统，30%得分。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3.3区域资源共享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医联体内影像、检查检验、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药品供应、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消毒供应和后勤服务中心等共享及区域内建设情况，实现医联体内检查检验结果互认的机构数量及占比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医联体内所有机构共享影像、检查检验、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药品供应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、消毒供应和后勤服务支持平台（医联体自建平台或社会化平台均可），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所有医疗机构之间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实现检查检验结果互认，30%得分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医联体内医院间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药品衔接使用率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80%，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处方联合审查率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50%，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；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4.可持续发展（60分）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4.1利益共享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医联体内建立利益共享机制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医联体内制定利益分配方案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，100%得分。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4.2双向转诊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3833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居民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2周患病首选基层医疗卫生机构的比例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02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医联体内居民2周患病首选基层医疗卫生机构的比例达到70%以上，得2分，否则不得分。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3833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基层医疗机构上转病人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比例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02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医联体内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基层医疗机构上转率控制在合理范围内，得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分，否则不得分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3833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上级医疗机构下转病人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比例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医联体内二、三级医院向基层医疗卫生机构、接续性医疗机构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下转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人数年增长率达到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10%以上，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，否则不得分。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3833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基层医疗机构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诊疗量占比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025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基层医疗卫生机构诊疗量占总诊疗量比例达到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65%以上，得3分，否则不得分。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4.2辐射带动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医联体二级以上医院向基层医疗卫生机构派驻技术人员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体二级以上医院派驻基层医疗机构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累计不少于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名以上专家，工作时限不少于半年（可多名专家累计）80%得分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名以上，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基层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医务人员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医联体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上级医院进修学习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每家基层医疗机构派往上级医院进修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每年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累计不少于3名，每名不少于3个月（可多名累计计算），100%得分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牵头医院帮助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医联体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下级医疗机构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开展新技术、新项目数量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牵头医院帮助医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体内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下级医疗机构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开展新技术、新项目数量每年不少于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项，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6项以上，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100%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牵头医院帮扶下级医疗机构专科（特色科室）建设的情况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牵头医院与成员机构间制定帮扶专科（特色科室）建设的计划，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牵头医院实际帮扶成员机构开展专科（特色科室）建设，70%得分。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帮扶下级医疗机构提升管理能力情况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规章制度或技术规范有完善，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70%得分；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医疗机构精神面貌有所改善，30%得分。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牵头医院门诊量及患者病种分布变化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牵头医院门诊量每年同比下降，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牵头医院CD型病例比例每年同比增长，50%得分。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牵头医院住院患者急、危重症患者比例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牵头医院住院患者急、危重症患者比例每年同比增长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，100%得分。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牵头医院三、四级手术占比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牵头医院三、四级手术占比每年同比增长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，100%得分。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成员单位门诊、住院、手术量及患者病种变化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成员单位门诊、住院、手术量每年同比增长，50%得分；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成员单位病种种类每年同比增多，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4.3慢病管理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高血压、糖尿病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、肺结核的规范化诊疗和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管理率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医联体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内慢性病患者连续性管理，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糖尿病、高血压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规范化诊疗和管理率≧40%，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肺结核病规范化管理率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80%，60%得分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糖尿病、高血压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规范化诊疗和管理率≧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0%，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肺结核病规范化管理率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≧9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0%，100%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得分；否则不得分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4.4健康宣教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体内加强健康宣教，提升居民健康素养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医联体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基层医疗机构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管理居民健康素养逐步提升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0%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4.5经济负担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9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医联体二级以上医院平均住院日情况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医联体二级以上医院平均住院日要逐步下降，同比每下降0.1天，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0.3分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lang w:val="en-US" w:eastAsia="zh-CN"/>
              </w:rPr>
              <w:t>30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</w:rPr>
              <w:t>医联体各医疗机构人均门诊费用和人均住院费用情况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</w:rPr>
              <w:t>医联体各医疗机构人均门诊费用和人均住院费用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lang w:eastAsia="zh-CN"/>
              </w:rPr>
              <w:t>合理增长，控制在行政部门规定的涨幅范围内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</w:rPr>
              <w:t>0%得分，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1"/>
                <w:lang w:eastAsia="zh-CN"/>
              </w:rPr>
              <w:t>否则不得分。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4.6明确责任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制定医联体章程或协议，明确核心医院与其他成员单位的责、权、利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制定医联体章程，50%得分；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医联体章程中明确各机构的责权利，50%得分。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4.7满意度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32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患者（门诊、住院、出院）满意度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患者总体满意度达60%，50%得分；患者总体满意度达85%，100%得分。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医务人员满意度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80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医务人员总体满意度达60%，50%得分；医务人员总体满意度达80%，100%得分。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7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5.附加分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5.医保总额目标管理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  <w:tc>
          <w:tcPr>
            <w:tcW w:w="383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医联体内实行医保“总额管理，结余留用”机制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5</w:t>
            </w:r>
          </w:p>
        </w:tc>
        <w:tc>
          <w:tcPr>
            <w:tcW w:w="8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  <w:t>医联体内有与医保部门签订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“总额管理，结余留用”书面协议，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50%得分；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医联体内实行医保“总额管理，结余留用”，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  <w:t>0%得分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  <w:t>为佐证上述自评结果，请提交以下材料（如已制定）：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  <w:t>（1）医联体建设工作方案；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  <w:t>（2）医联体章程或协议；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  <w:t>（3）医联体内机构协作相关制度文件（如双向转诊、人员流动、信息共享、同质化管理等）；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  <w:t>（4）医联体内人事和薪酬政策文件；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</w:rPr>
        <w:sectPr>
          <w:pgSz w:w="16838" w:h="11906" w:orient="landscape"/>
          <w:pgMar w:top="1797" w:right="1440" w:bottom="1797" w:left="1440" w:header="851" w:footer="1332" w:gutter="0"/>
          <w:pgNumType w:fmt="numberInDash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1"/>
        </w:rPr>
        <w:t>（5）其他佐证材料。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D5AE1"/>
    <w:rsid w:val="2BA474DE"/>
    <w:rsid w:val="5A2D5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uiPriority w:val="0"/>
    <w:rPr>
      <w:rFonts w:eastAsia="黑体" w:asciiTheme="minorAscii" w:hAnsiTheme="minorAscii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2019-01-14T08:03:00Z</dcterms:created>
  <dc:creator>WPS_376170451</dc:creator>
  <cp:lastModifiedBy>WPS_376170451</cp:lastModifiedBy>
  <dcterms:modified xsi:type="dcterms:W3CDTF">2019-01-14T08:03:48Z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