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ms-word.attachedToolbars" PartName="/word/attachedToolbars.bin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1"/>
        <w:tblW w:w="94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9"/>
        <w:gridCol w:w="46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9481" w:type="dxa"/>
            <w:gridSpan w:val="2"/>
            <w:vAlign w:val="top"/>
          </w:tcPr>
          <w:p>
            <w:pPr>
              <w:tabs>
                <w:tab w:val="left" w:pos="7619"/>
                <w:tab w:val="clear" w:pos="360"/>
                <w:tab w:val="clear" w:pos="9215"/>
              </w:tabs>
              <w:jc w:val="right"/>
              <w:rPr>
                <w:b/>
                <w:spacing w:val="-40"/>
                <w:w w:val="110"/>
                <w:sz w:val="144"/>
                <w:szCs w:val="144"/>
              </w:rPr>
            </w:pPr>
            <w:bookmarkStart w:id="0" w:name="SectionMark0"/>
            <w:r>
              <w:rPr>
                <w:b/>
                <w:spacing w:val="-40"/>
                <w:w w:val="110"/>
                <w:sz w:val="144"/>
                <w:szCs w:val="144"/>
              </w:rPr>
              <w:t>DB 44</w:t>
            </w:r>
          </w:p>
          <w:p>
            <w:pPr>
              <w:tabs>
                <w:tab w:val="left" w:pos="7619"/>
                <w:tab w:val="clear" w:pos="360"/>
                <w:tab w:val="clear" w:pos="9215"/>
              </w:tabs>
              <w:jc w:val="right"/>
              <w:rPr>
                <w:b/>
                <w:spacing w:val="-40"/>
                <w:w w:val="110"/>
                <w:sz w:val="18"/>
                <w:szCs w:val="18"/>
              </w:rPr>
            </w:pPr>
          </w:p>
          <w:p>
            <w:pPr>
              <w:pStyle w:val="90"/>
              <w:widowControl w:val="0"/>
              <w:rPr>
                <w:rFonts w:ascii="Times New Roman" w:hAnsi="Times New Roman"/>
                <w:b/>
                <w:spacing w:val="-40"/>
                <w:w w:val="11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spacing w:val="-40"/>
                <w:w w:val="120"/>
                <w:kern w:val="2"/>
                <w:szCs w:val="22"/>
              </w:rPr>
              <w:t>广东省食品安全地方标准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9481" w:type="dxa"/>
            <w:gridSpan w:val="2"/>
            <w:tcBorders>
              <w:bottom w:val="single" w:color="auto" w:sz="12" w:space="0"/>
            </w:tcBorders>
            <w:vAlign w:val="top"/>
          </w:tcPr>
          <w:p>
            <w:pPr>
              <w:tabs>
                <w:tab w:val="left" w:pos="7619"/>
                <w:tab w:val="clear" w:pos="360"/>
                <w:tab w:val="clear" w:pos="9215"/>
              </w:tabs>
              <w:jc w:val="righ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DBS 44/XXX－2019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9481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tabs>
                <w:tab w:val="left" w:pos="7619"/>
                <w:tab w:val="clear" w:pos="360"/>
                <w:tab w:val="clear" w:pos="9215"/>
              </w:tabs>
              <w:jc w:val="center"/>
            </w:pPr>
          </w:p>
          <w:p>
            <w:pPr>
              <w:tabs>
                <w:tab w:val="left" w:pos="7619"/>
                <w:tab w:val="clear" w:pos="360"/>
                <w:tab w:val="clear" w:pos="9215"/>
              </w:tabs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9481" w:type="dxa"/>
            <w:gridSpan w:val="2"/>
            <w:vAlign w:val="top"/>
          </w:tcPr>
          <w:p>
            <w:pPr>
              <w:tabs>
                <w:tab w:val="left" w:pos="7619"/>
                <w:tab w:val="clear" w:pos="360"/>
                <w:tab w:val="clear" w:pos="9215"/>
              </w:tabs>
              <w:jc w:val="center"/>
              <w:rPr>
                <w:rFonts w:hint="eastAsia" w:eastAsia="黑体"/>
                <w:sz w:val="52"/>
                <w:szCs w:val="52"/>
                <w:lang w:eastAsia="zh-CN"/>
              </w:rPr>
            </w:pPr>
            <w:r>
              <w:rPr>
                <w:rFonts w:hint="eastAsia" w:eastAsia="黑体"/>
                <w:sz w:val="52"/>
                <w:szCs w:val="52"/>
                <w:lang w:eastAsia="zh-CN"/>
              </w:rPr>
              <w:t>食品安全地方标准</w:t>
            </w:r>
          </w:p>
          <w:p>
            <w:pPr>
              <w:tabs>
                <w:tab w:val="left" w:pos="7619"/>
                <w:tab w:val="clear" w:pos="360"/>
                <w:tab w:val="clear" w:pos="9215"/>
              </w:tabs>
              <w:jc w:val="center"/>
              <w:rPr>
                <w:rFonts w:eastAsia="黑体"/>
                <w:sz w:val="52"/>
                <w:szCs w:val="52"/>
              </w:rPr>
            </w:pPr>
            <w:r>
              <w:rPr>
                <w:rFonts w:hint="eastAsia" w:eastAsia="黑体"/>
                <w:sz w:val="52"/>
                <w:szCs w:val="52"/>
                <w:lang w:eastAsia="zh-CN"/>
              </w:rPr>
              <w:t>纳</w:t>
            </w:r>
            <w:r>
              <w:rPr>
                <w:rFonts w:hint="eastAsia" w:eastAsia="黑体"/>
                <w:sz w:val="52"/>
                <w:szCs w:val="52"/>
                <w:lang w:val="en-US" w:eastAsia="zh-CN"/>
              </w:rPr>
              <w:t xml:space="preserve"> 豆</w:t>
            </w:r>
            <w:r>
              <w:rPr>
                <w:rFonts w:eastAsia="黑体"/>
                <w:sz w:val="52"/>
                <w:szCs w:val="52"/>
              </w:rPr>
              <w:t xml:space="preserve"> 粉</w:t>
            </w:r>
          </w:p>
          <w:p>
            <w:pPr>
              <w:tabs>
                <w:tab w:val="left" w:pos="7619"/>
                <w:tab w:val="clear" w:pos="360"/>
                <w:tab w:val="clear" w:pos="9215"/>
              </w:tabs>
              <w:jc w:val="center"/>
              <w:rPr>
                <w:rFonts w:eastAsia="黑体"/>
                <w:sz w:val="52"/>
                <w:szCs w:val="52"/>
              </w:rPr>
            </w:pPr>
            <w:r>
              <w:rPr>
                <w:rFonts w:eastAsia="黑体"/>
                <w:sz w:val="52"/>
                <w:szCs w:val="52"/>
              </w:rPr>
              <w:t>（</w:t>
            </w:r>
            <w:r>
              <w:rPr>
                <w:rFonts w:hint="eastAsia" w:eastAsia="黑体"/>
                <w:sz w:val="52"/>
                <w:szCs w:val="52"/>
                <w:lang w:eastAsia="zh-CN"/>
              </w:rPr>
              <w:t>征求意见稿</w:t>
            </w:r>
            <w:r>
              <w:rPr>
                <w:rFonts w:eastAsia="黑体"/>
                <w:sz w:val="52"/>
                <w:szCs w:val="52"/>
              </w:rPr>
              <w:t>）</w:t>
            </w:r>
          </w:p>
          <w:p>
            <w:pPr>
              <w:tabs>
                <w:tab w:val="left" w:pos="7619"/>
                <w:tab w:val="clear" w:pos="360"/>
                <w:tab w:val="clear" w:pos="9215"/>
              </w:tabs>
              <w:jc w:val="center"/>
              <w:rPr>
                <w:kern w:val="0"/>
                <w:sz w:val="20"/>
                <w:szCs w:val="20"/>
              </w:rPr>
            </w:pP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481" w:type="dxa"/>
            <w:gridSpan w:val="2"/>
            <w:vAlign w:val="top"/>
          </w:tcPr>
          <w:p>
            <w:pPr>
              <w:tabs>
                <w:tab w:val="left" w:pos="7619"/>
                <w:tab w:val="clear" w:pos="360"/>
                <w:tab w:val="clear" w:pos="9215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9481" w:type="dxa"/>
            <w:gridSpan w:val="2"/>
            <w:vAlign w:val="top"/>
          </w:tcPr>
          <w:p>
            <w:pPr>
              <w:tabs>
                <w:tab w:val="left" w:pos="7619"/>
                <w:tab w:val="clear" w:pos="360"/>
                <w:tab w:val="clear" w:pos="9215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859" w:type="dxa"/>
            <w:tcBorders>
              <w:bottom w:val="single" w:color="auto" w:sz="12" w:space="0"/>
            </w:tcBorders>
            <w:vAlign w:val="top"/>
          </w:tcPr>
          <w:p>
            <w:pPr>
              <w:tabs>
                <w:tab w:val="left" w:pos="7619"/>
                <w:tab w:val="clear" w:pos="360"/>
                <w:tab w:val="clear" w:pos="9215"/>
              </w:tabs>
              <w:rPr>
                <w:kern w:val="0"/>
                <w:sz w:val="20"/>
                <w:szCs w:val="20"/>
              </w:rPr>
            </w:pPr>
            <w:r>
              <w:rPr>
                <w:rFonts w:eastAsia="黑体"/>
                <w:sz w:val="28"/>
                <w:szCs w:val="22"/>
              </w:rPr>
              <w:t>2019-xx-xx发布</w:t>
            </w:r>
          </w:p>
        </w:tc>
        <w:tc>
          <w:tcPr>
            <w:tcW w:w="4622" w:type="dxa"/>
            <w:tcBorders>
              <w:bottom w:val="single" w:color="auto" w:sz="12" w:space="0"/>
            </w:tcBorders>
            <w:vAlign w:val="top"/>
          </w:tcPr>
          <w:p>
            <w:pPr>
              <w:tabs>
                <w:tab w:val="left" w:pos="7619"/>
                <w:tab w:val="clear" w:pos="360"/>
                <w:tab w:val="clear" w:pos="9215"/>
              </w:tabs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eastAsia="黑体"/>
                <w:sz w:val="28"/>
                <w:szCs w:val="22"/>
              </w:rPr>
              <w:t>2019-xx-xx实施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1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tabs>
                <w:tab w:val="left" w:pos="7619"/>
                <w:tab w:val="clear" w:pos="360"/>
                <w:tab w:val="clear" w:pos="9215"/>
              </w:tabs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spacing w:val="113"/>
                <w:kern w:val="0"/>
                <w:sz w:val="44"/>
                <w:szCs w:val="44"/>
              </w:rPr>
              <w:t>广东省卫生健康委员会</w:t>
            </w:r>
            <w:r>
              <w:rPr>
                <w:b/>
                <w:spacing w:val="100"/>
                <w:w w:val="150"/>
                <w:kern w:val="0"/>
                <w:sz w:val="44"/>
                <w:szCs w:val="44"/>
              </w:rPr>
              <w:t xml:space="preserve"> </w:t>
            </w:r>
            <w:r>
              <w:rPr>
                <w:rFonts w:eastAsia="黑体"/>
                <w:kern w:val="0"/>
                <w:sz w:val="28"/>
                <w:szCs w:val="28"/>
              </w:rPr>
              <w:t>发 布</w:t>
            </w:r>
          </w:p>
        </w:tc>
      </w:tr>
    </w:tbl>
    <w:p>
      <w:pPr>
        <w:pStyle w:val="4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ectPr>
          <w:headerReference r:id="rId5" w:type="first"/>
          <w:footerReference r:id="rId8" w:type="first"/>
          <w:headerReference r:id="rId4" w:type="default"/>
          <w:footerReference r:id="rId6" w:type="default"/>
          <w:footerReference r:id="rId7" w:type="even"/>
          <w:pgSz w:w="11907" w:h="16839"/>
          <w:pgMar w:top="1440" w:right="1800" w:bottom="1440" w:left="1800" w:header="0" w:footer="0" w:gutter="0"/>
          <w:pgNumType w:start="1"/>
          <w:cols w:space="720" w:num="1"/>
          <w:titlePg/>
          <w:docGrid w:type="lines" w:linePitch="312" w:charSpace="0"/>
        </w:sectPr>
      </w:pPr>
    </w:p>
    <w:bookmarkEnd w:id="0"/>
    <w:p>
      <w:pPr>
        <w:pStyle w:val="54"/>
        <w:spacing w:line="240" w:lineRule="auto"/>
        <w:rPr>
          <w:rFonts w:ascii="Times New Roman"/>
        </w:rPr>
      </w:pPr>
      <w:r>
        <w:rPr>
          <w:rFonts w:ascii="Times New Roman"/>
        </w:rPr>
        <w:t>前    言</w:t>
      </w:r>
    </w:p>
    <w:p>
      <w:pPr>
        <w:pStyle w:val="54"/>
        <w:spacing w:line="240" w:lineRule="auto"/>
        <w:ind w:firstLine="420" w:firstLineChars="200"/>
        <w:jc w:val="both"/>
        <w:rPr>
          <w:rFonts w:ascii="Times New Roman" w:eastAsia="宋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本标准为首次发布。</w:t>
      </w:r>
    </w:p>
    <w:p>
      <w:pPr>
        <w:pStyle w:val="54"/>
        <w:spacing w:line="240" w:lineRule="auto"/>
        <w:rPr>
          <w:rFonts w:ascii="Times New Roman"/>
        </w:rPr>
      </w:pPr>
    </w:p>
    <w:p>
      <w:pPr>
        <w:pStyle w:val="54"/>
        <w:spacing w:line="240" w:lineRule="auto"/>
        <w:rPr>
          <w:rFonts w:ascii="Times New Roman"/>
        </w:rPr>
      </w:pPr>
    </w:p>
    <w:p>
      <w:pPr>
        <w:pStyle w:val="54"/>
        <w:spacing w:line="240" w:lineRule="auto"/>
        <w:rPr>
          <w:rFonts w:ascii="Times New Roman"/>
        </w:rPr>
      </w:pPr>
    </w:p>
    <w:p>
      <w:pPr>
        <w:pStyle w:val="54"/>
        <w:spacing w:line="240" w:lineRule="auto"/>
        <w:rPr>
          <w:rFonts w:ascii="Times New Roman"/>
        </w:rPr>
      </w:pPr>
    </w:p>
    <w:p>
      <w:pPr>
        <w:pStyle w:val="54"/>
        <w:spacing w:line="240" w:lineRule="auto"/>
        <w:rPr>
          <w:rFonts w:ascii="Times New Roman"/>
        </w:rPr>
      </w:pPr>
    </w:p>
    <w:p>
      <w:pPr>
        <w:pStyle w:val="54"/>
        <w:spacing w:line="240" w:lineRule="auto"/>
        <w:rPr>
          <w:rFonts w:ascii="Times New Roman"/>
        </w:rPr>
      </w:pPr>
    </w:p>
    <w:p>
      <w:pPr>
        <w:pStyle w:val="54"/>
        <w:spacing w:line="240" w:lineRule="auto"/>
        <w:rPr>
          <w:rFonts w:ascii="Times New Roman"/>
        </w:rPr>
      </w:pPr>
    </w:p>
    <w:p>
      <w:pPr>
        <w:pStyle w:val="54"/>
        <w:spacing w:line="240" w:lineRule="auto"/>
        <w:rPr>
          <w:rFonts w:ascii="Times New Roman"/>
        </w:rPr>
      </w:pPr>
    </w:p>
    <w:p>
      <w:pPr>
        <w:widowControl/>
        <w:tabs>
          <w:tab w:val="clear" w:pos="360"/>
          <w:tab w:val="clear" w:pos="9215"/>
        </w:tabs>
        <w:jc w:val="center"/>
        <w:rPr>
          <w:rFonts w:hint="eastAsia" w:ascii="黑体" w:hAnsi="黑体" w:eastAsia="黑体" w:cs="黑体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sz w:val="32"/>
          <w:szCs w:val="32"/>
        </w:rPr>
        <w:t>纳豆粉</w:t>
      </w:r>
    </w:p>
    <w:p>
      <w:pPr>
        <w:widowControl/>
        <w:tabs>
          <w:tab w:val="clear" w:pos="360"/>
          <w:tab w:val="clear" w:pos="9215"/>
        </w:tabs>
        <w:jc w:val="center"/>
        <w:rPr>
          <w:rFonts w:hint="eastAsia" w:ascii="黑体" w:hAnsi="黑体" w:eastAsia="黑体" w:cs="黑体"/>
          <w:sz w:val="32"/>
          <w:szCs w:val="32"/>
        </w:rPr>
      </w:pPr>
      <w:bookmarkStart w:id="6" w:name="_GoBack"/>
      <w:bookmarkEnd w:id="6"/>
    </w:p>
    <w:p>
      <w:pPr>
        <w:pStyle w:val="78"/>
        <w:spacing w:before="156" w:after="156"/>
        <w:rPr>
          <w:rFonts w:ascii="Times New Roman"/>
        </w:rPr>
      </w:pPr>
      <w:r>
        <w:rPr>
          <w:rFonts w:ascii="Times New Roman"/>
        </w:rPr>
        <w:t>范围</w:t>
      </w:r>
    </w:p>
    <w:p>
      <w:pPr>
        <w:pStyle w:val="46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本标准适用于纳豆粉。</w:t>
      </w:r>
    </w:p>
    <w:p>
      <w:pPr>
        <w:pStyle w:val="46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本标准规定了纳豆粉的定义、技术要求、生产加工过程的卫生要求、标签</w:t>
      </w:r>
      <w:r>
        <w:rPr>
          <w:rFonts w:hint="eastAsia" w:ascii="Times New Roman"/>
        </w:rPr>
        <w:t>和</w:t>
      </w:r>
      <w:r>
        <w:rPr>
          <w:rFonts w:ascii="Times New Roman"/>
        </w:rPr>
        <w:t>包装。</w:t>
      </w:r>
    </w:p>
    <w:p>
      <w:pPr>
        <w:pStyle w:val="78"/>
        <w:spacing w:before="156" w:after="156"/>
        <w:rPr>
          <w:rFonts w:ascii="Times New Roman"/>
        </w:rPr>
      </w:pPr>
      <w:r>
        <w:rPr>
          <w:rFonts w:ascii="Times New Roman"/>
        </w:rPr>
        <w:t>定义</w:t>
      </w:r>
    </w:p>
    <w:p>
      <w:pPr>
        <w:pStyle w:val="60"/>
        <w:spacing w:beforeLines="50" w:afterLines="50"/>
        <w:ind w:left="0"/>
      </w:pPr>
      <w:r>
        <w:t>纳豆粉</w:t>
      </w:r>
    </w:p>
    <w:p>
      <w:pPr>
        <w:pStyle w:val="78"/>
        <w:numPr>
          <w:ilvl w:val="1"/>
          <w:numId w:val="0"/>
        </w:numPr>
        <w:spacing w:before="156" w:after="156" w:line="360" w:lineRule="auto"/>
        <w:ind w:firstLine="420" w:firstLineChars="200"/>
        <w:rPr>
          <w:rFonts w:ascii="Times New Roman" w:eastAsia="宋体"/>
        </w:rPr>
      </w:pPr>
      <w:r>
        <w:rPr>
          <w:rFonts w:ascii="Times New Roman" w:eastAsia="宋体"/>
        </w:rPr>
        <w:t>以大豆为原料</w:t>
      </w:r>
      <w:r>
        <w:rPr>
          <w:rFonts w:hint="eastAsia" w:ascii="Times New Roman" w:eastAsia="宋体"/>
        </w:rPr>
        <w:t>，添加或不添加其他辅料，经</w:t>
      </w:r>
      <w:r>
        <w:rPr>
          <w:rFonts w:ascii="Times New Roman" w:eastAsia="宋体"/>
        </w:rPr>
        <w:t>枯草芽孢杆菌发酵</w:t>
      </w:r>
      <w:r>
        <w:rPr>
          <w:rFonts w:hint="eastAsia" w:ascii="Times New Roman" w:eastAsia="宋体"/>
        </w:rPr>
        <w:t>、干燥、粉碎等工艺加工而</w:t>
      </w:r>
      <w:r>
        <w:rPr>
          <w:rFonts w:ascii="Times New Roman" w:eastAsia="宋体"/>
        </w:rPr>
        <w:t>成的</w:t>
      </w:r>
      <w:r>
        <w:rPr>
          <w:rFonts w:hint="eastAsia" w:ascii="Times New Roman" w:eastAsia="宋体"/>
        </w:rPr>
        <w:t>粉末状发酵豆制品</w:t>
      </w:r>
      <w:r>
        <w:rPr>
          <w:rFonts w:ascii="Times New Roman" w:eastAsia="宋体"/>
        </w:rPr>
        <w:t>。</w:t>
      </w:r>
    </w:p>
    <w:p>
      <w:pPr>
        <w:pStyle w:val="78"/>
        <w:spacing w:before="156" w:after="156"/>
        <w:rPr>
          <w:rFonts w:ascii="Times New Roman"/>
        </w:rPr>
      </w:pPr>
      <w:r>
        <w:rPr>
          <w:rFonts w:ascii="Times New Roman"/>
        </w:rPr>
        <w:t>技术要求</w:t>
      </w:r>
    </w:p>
    <w:p>
      <w:pPr>
        <w:pStyle w:val="60"/>
        <w:spacing w:beforeLines="50" w:afterLines="50"/>
        <w:ind w:left="0"/>
      </w:pPr>
      <w:r>
        <w:t>原料要求</w:t>
      </w:r>
    </w:p>
    <w:p>
      <w:pPr>
        <w:pStyle w:val="60"/>
        <w:numPr>
          <w:ilvl w:val="3"/>
          <w:numId w:val="1"/>
        </w:numPr>
        <w:spacing w:line="360" w:lineRule="auto"/>
        <w:rPr>
          <w:rFonts w:eastAsia="宋体"/>
          <w:szCs w:val="22"/>
        </w:rPr>
      </w:pPr>
      <w:r>
        <w:rPr>
          <w:rFonts w:eastAsia="宋体"/>
          <w:szCs w:val="22"/>
        </w:rPr>
        <w:t>大豆：应符合GB 2715</w:t>
      </w:r>
      <w:r>
        <w:rPr>
          <w:rFonts w:hint="eastAsia" w:eastAsia="宋体"/>
          <w:szCs w:val="22"/>
        </w:rPr>
        <w:t>和</w:t>
      </w:r>
      <w:r>
        <w:rPr>
          <w:rFonts w:eastAsia="宋体"/>
          <w:szCs w:val="22"/>
        </w:rPr>
        <w:t>GB 1352的要求。</w:t>
      </w:r>
    </w:p>
    <w:p>
      <w:pPr>
        <w:pStyle w:val="60"/>
        <w:numPr>
          <w:ilvl w:val="3"/>
          <w:numId w:val="1"/>
        </w:numPr>
        <w:spacing w:line="360" w:lineRule="auto"/>
        <w:rPr>
          <w:rFonts w:ascii="宋体" w:hAnsi="宋体" w:eastAsia="宋体"/>
        </w:rPr>
      </w:pPr>
      <w:r>
        <w:rPr>
          <w:rFonts w:hint="eastAsia" w:eastAsia="宋体"/>
          <w:szCs w:val="22"/>
        </w:rPr>
        <w:t>所有原辅料：应符合GB 2761、GB 2762、GB 2763、GB 2763.1以及相应食品标准的有关规定。</w:t>
      </w:r>
    </w:p>
    <w:p>
      <w:pPr>
        <w:pStyle w:val="60"/>
        <w:spacing w:beforeLines="50" w:afterLines="50"/>
        <w:ind w:left="0"/>
      </w:pPr>
      <w:r>
        <w:t>感官要求</w:t>
      </w:r>
    </w:p>
    <w:p>
      <w:pPr>
        <w:pStyle w:val="46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感官要</w:t>
      </w:r>
      <w:r>
        <w:rPr>
          <w:rFonts w:ascii="Times New Roman" w:hAnsi="宋体" w:eastAsia="宋体"/>
        </w:rPr>
        <w:t>求应符合表</w:t>
      </w:r>
      <w:r>
        <w:rPr>
          <w:rFonts w:ascii="Times New Roman" w:eastAsia="宋体"/>
        </w:rPr>
        <w:t>1</w:t>
      </w:r>
      <w:r>
        <w:rPr>
          <w:rFonts w:ascii="Times New Roman" w:hAnsi="宋体" w:eastAsia="宋体"/>
        </w:rPr>
        <w:t>的规定。</w:t>
      </w:r>
    </w:p>
    <w:p>
      <w:pPr>
        <w:pStyle w:val="46"/>
        <w:spacing w:line="360" w:lineRule="auto"/>
        <w:ind w:firstLine="420"/>
        <w:jc w:val="center"/>
        <w:rPr>
          <w:rFonts w:ascii="Times New Roman" w:eastAsia="黑体"/>
        </w:rPr>
      </w:pPr>
      <w:r>
        <w:rPr>
          <w:rFonts w:ascii="Times New Roman" w:eastAsia="黑体"/>
        </w:rPr>
        <w:t>表1 感官要求</w:t>
      </w:r>
    </w:p>
    <w:tbl>
      <w:tblPr>
        <w:tblStyle w:val="41"/>
        <w:tblW w:w="8192" w:type="dxa"/>
        <w:jc w:val="center"/>
        <w:tblInd w:w="8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13"/>
        <w:gridCol w:w="382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813" w:type="dxa"/>
            <w:vAlign w:val="center"/>
          </w:tcPr>
          <w:p>
            <w:pPr>
              <w:pStyle w:val="46"/>
              <w:widowControl w:val="0"/>
              <w:spacing w:line="360" w:lineRule="auto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项目</w:t>
            </w:r>
          </w:p>
        </w:tc>
        <w:tc>
          <w:tcPr>
            <w:tcW w:w="3827" w:type="dxa"/>
            <w:vAlign w:val="center"/>
          </w:tcPr>
          <w:p>
            <w:pPr>
              <w:pStyle w:val="46"/>
              <w:widowControl w:val="0"/>
              <w:spacing w:line="360" w:lineRule="auto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要求</w:t>
            </w:r>
          </w:p>
        </w:tc>
        <w:tc>
          <w:tcPr>
            <w:tcW w:w="2552" w:type="dxa"/>
            <w:vAlign w:val="center"/>
          </w:tcPr>
          <w:p>
            <w:pPr>
              <w:pStyle w:val="46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色泽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浅黄色</w:t>
            </w:r>
            <w:r>
              <w:rPr>
                <w:rFonts w:hint="eastAsia"/>
                <w:kern w:val="0"/>
              </w:rPr>
              <w:t>至</w:t>
            </w:r>
            <w:r>
              <w:rPr>
                <w:kern w:val="0"/>
              </w:rPr>
              <w:t>黄褐色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46"/>
              <w:widowControl w:val="0"/>
              <w:ind w:firstLine="0" w:firstLineChars="0"/>
              <w:jc w:val="left"/>
              <w:rPr>
                <w:rFonts w:ascii="Times New Roman"/>
                <w:kern w:val="2"/>
                <w:szCs w:val="24"/>
              </w:rPr>
            </w:pPr>
            <w:r>
              <w:rPr>
                <w:rFonts w:ascii="Times New Roman"/>
                <w:color w:val="000000"/>
              </w:rPr>
              <w:t>取适量试样置于白色</w:t>
            </w:r>
            <w:r>
              <w:rPr>
                <w:rFonts w:hint="eastAsia" w:ascii="Times New Roman"/>
                <w:color w:val="000000"/>
              </w:rPr>
              <w:t>洁净</w:t>
            </w:r>
            <w:r>
              <w:rPr>
                <w:rFonts w:ascii="Times New Roman"/>
                <w:color w:val="000000"/>
              </w:rPr>
              <w:t>瓷盘中，在自然光下观察色泽</w:t>
            </w:r>
            <w:r>
              <w:rPr>
                <w:rFonts w:hint="eastAsia" w:ascii="Times New Roman"/>
                <w:color w:val="000000"/>
              </w:rPr>
              <w:t>、性状和杂质</w:t>
            </w:r>
            <w:r>
              <w:rPr>
                <w:rFonts w:ascii="Times New Roman"/>
                <w:color w:val="000000"/>
              </w:rPr>
              <w:t>，闻其气味，品其滋味。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t>气味、滋味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</w:pPr>
            <w:r>
              <w:t>具有纳豆粉特有的气味、滋味，无异味</w:t>
            </w:r>
          </w:p>
        </w:tc>
        <w:tc>
          <w:tcPr>
            <w:tcW w:w="2552" w:type="dxa"/>
            <w:vMerge w:val="continue"/>
            <w:vAlign w:val="top"/>
          </w:tcPr>
          <w:p>
            <w:pPr>
              <w:pStyle w:val="46"/>
              <w:widowControl w:val="0"/>
              <w:ind w:firstLine="0" w:firstLineChars="0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t>性状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</w:pPr>
            <w:r>
              <w:t>粉末</w:t>
            </w:r>
            <w:r>
              <w:rPr>
                <w:rFonts w:hint="eastAsia"/>
              </w:rPr>
              <w:t>状，无结块</w:t>
            </w:r>
          </w:p>
        </w:tc>
        <w:tc>
          <w:tcPr>
            <w:tcW w:w="2552" w:type="dxa"/>
            <w:vMerge w:val="continue"/>
            <w:vAlign w:val="top"/>
          </w:tcPr>
          <w:p>
            <w:pPr>
              <w:pStyle w:val="46"/>
              <w:widowControl w:val="0"/>
              <w:ind w:firstLine="0" w:firstLineChars="0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t>杂质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无正常视力可见</w:t>
            </w:r>
            <w:r>
              <w:rPr>
                <w:rFonts w:hint="eastAsia"/>
                <w:color w:val="000000"/>
                <w:kern w:val="0"/>
              </w:rPr>
              <w:t>外来</w:t>
            </w:r>
            <w:r>
              <w:rPr>
                <w:color w:val="000000"/>
                <w:kern w:val="0"/>
              </w:rPr>
              <w:t>杂质</w:t>
            </w:r>
          </w:p>
        </w:tc>
        <w:tc>
          <w:tcPr>
            <w:tcW w:w="2552" w:type="dxa"/>
            <w:vMerge w:val="continue"/>
            <w:vAlign w:val="top"/>
          </w:tcPr>
          <w:p>
            <w:pPr>
              <w:pStyle w:val="46"/>
              <w:widowControl w:val="0"/>
              <w:ind w:firstLine="0" w:firstLineChars="0"/>
              <w:rPr>
                <w:rFonts w:ascii="Times New Roman"/>
              </w:rPr>
            </w:pPr>
          </w:p>
        </w:tc>
      </w:tr>
    </w:tbl>
    <w:p>
      <w:pPr>
        <w:pStyle w:val="60"/>
        <w:spacing w:beforeLines="100" w:afterLines="50"/>
        <w:ind w:left="0"/>
      </w:pPr>
      <w:r>
        <w:t>理化指标</w:t>
      </w:r>
    </w:p>
    <w:p>
      <w:pPr>
        <w:pStyle w:val="78"/>
        <w:numPr>
          <w:ilvl w:val="1"/>
          <w:numId w:val="0"/>
        </w:numPr>
        <w:spacing w:before="156" w:after="156"/>
        <w:ind w:firstLine="420" w:firstLineChars="200"/>
        <w:rPr>
          <w:rFonts w:ascii="Times New Roman" w:hAnsi="宋体" w:eastAsia="宋体"/>
        </w:rPr>
      </w:pPr>
      <w:r>
        <w:rPr>
          <w:rFonts w:hint="eastAsia" w:ascii="Times New Roman" w:eastAsia="宋体"/>
        </w:rPr>
        <w:t>理化指标应</w:t>
      </w:r>
      <w:r>
        <w:rPr>
          <w:rFonts w:ascii="Times New Roman" w:hAnsi="宋体" w:eastAsia="宋体"/>
        </w:rPr>
        <w:t>符合表</w:t>
      </w:r>
      <w:r>
        <w:rPr>
          <w:rFonts w:ascii="Times New Roman" w:eastAsia="宋体"/>
        </w:rPr>
        <w:t>2</w:t>
      </w:r>
      <w:r>
        <w:rPr>
          <w:rFonts w:ascii="Times New Roman" w:hAnsi="宋体" w:eastAsia="宋体"/>
        </w:rPr>
        <w:t>规定。</w:t>
      </w:r>
    </w:p>
    <w:p>
      <w:pPr>
        <w:pStyle w:val="46"/>
        <w:spacing w:line="360" w:lineRule="auto"/>
        <w:ind w:firstLine="420"/>
        <w:jc w:val="center"/>
        <w:rPr>
          <w:rFonts w:ascii="Times New Roman" w:eastAsia="黑体"/>
        </w:rPr>
      </w:pPr>
    </w:p>
    <w:p>
      <w:pPr>
        <w:pStyle w:val="46"/>
        <w:spacing w:line="360" w:lineRule="auto"/>
        <w:ind w:firstLine="420"/>
        <w:jc w:val="center"/>
        <w:rPr>
          <w:rFonts w:ascii="Times New Roman" w:eastAsia="黑体"/>
        </w:rPr>
      </w:pPr>
    </w:p>
    <w:p>
      <w:pPr>
        <w:pStyle w:val="46"/>
        <w:spacing w:line="360" w:lineRule="auto"/>
        <w:ind w:firstLine="420"/>
        <w:jc w:val="center"/>
        <w:rPr>
          <w:rFonts w:ascii="Times New Roman" w:eastAsia="黑体"/>
        </w:rPr>
      </w:pPr>
      <w:r>
        <w:rPr>
          <w:rFonts w:ascii="Times New Roman" w:eastAsia="黑体"/>
        </w:rPr>
        <w:t>表2 理化指标</w:t>
      </w:r>
    </w:p>
    <w:tbl>
      <w:tblPr>
        <w:tblStyle w:val="41"/>
        <w:tblW w:w="8163" w:type="dxa"/>
        <w:jc w:val="center"/>
        <w:tblInd w:w="1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46"/>
        <w:gridCol w:w="1729"/>
        <w:gridCol w:w="1790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要求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346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纳豆激酶</w:t>
            </w:r>
            <w:r>
              <w:rPr>
                <w:rFonts w:ascii="宋体" w:hAnsi="宋体" w:eastAsia="宋体"/>
                <w:vertAlign w:val="superscript"/>
              </w:rPr>
              <w:t>a</w:t>
            </w:r>
            <w:r>
              <w:rPr>
                <w:rFonts w:ascii="宋体" w:hAnsi="宋体" w:eastAsia="宋体"/>
              </w:rPr>
              <w:t xml:space="preserve">      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FU/g  </w:t>
            </w:r>
            <w:r>
              <w:rPr>
                <w:rFonts w:hint="eastAsia" w:ascii="宋体" w:hAnsi="宋体" w:eastAsia="宋体"/>
              </w:rPr>
              <w:t xml:space="preserve">    </w:t>
            </w:r>
            <w:r>
              <w:rPr>
                <w:rFonts w:ascii="宋体" w:hAnsi="宋体" w:eastAsia="宋体"/>
              </w:rPr>
              <w:t>≥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2000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附录A 紫外分光光度法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IU/g  </w:t>
            </w:r>
            <w:r>
              <w:rPr>
                <w:rFonts w:hint="eastAsia" w:ascii="宋体" w:hAnsi="宋体" w:eastAsia="宋体"/>
              </w:rPr>
              <w:t xml:space="preserve">    </w:t>
            </w:r>
            <w:r>
              <w:rPr>
                <w:rFonts w:ascii="宋体" w:hAnsi="宋体" w:eastAsia="宋体"/>
              </w:rPr>
              <w:t>≥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13000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附录B 琼脂糖纤维蛋白平板法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蛋白质</w:t>
            </w:r>
            <w:r>
              <w:rPr>
                <w:rFonts w:hint="eastAsia" w:ascii="宋体" w:hAnsi="宋体" w:eastAsia="宋体"/>
                <w:vertAlign w:val="superscript"/>
              </w:rPr>
              <w:t>b</w:t>
            </w:r>
            <w:r>
              <w:rPr>
                <w:rFonts w:ascii="宋体" w:hAnsi="宋体" w:eastAsia="宋体"/>
              </w:rPr>
              <w:t xml:space="preserve">，g/100g   </w:t>
            </w:r>
            <w:r>
              <w:rPr>
                <w:rFonts w:hint="eastAsia" w:ascii="宋体" w:hAnsi="宋体" w:eastAsia="宋体"/>
              </w:rPr>
              <w:t xml:space="preserve">    </w:t>
            </w:r>
            <w:r>
              <w:rPr>
                <w:rFonts w:ascii="宋体" w:hAnsi="宋体" w:eastAsia="宋体"/>
              </w:rPr>
              <w:t xml:space="preserve">  ≥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GB 5009.5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水分，g/100g        </w:t>
            </w:r>
            <w:r>
              <w:rPr>
                <w:rFonts w:hint="eastAsia" w:ascii="宋体" w:hAnsi="宋体" w:eastAsia="宋体"/>
              </w:rPr>
              <w:t xml:space="preserve">   </w:t>
            </w:r>
            <w:r>
              <w:rPr>
                <w:rFonts w:ascii="宋体" w:hAnsi="宋体" w:eastAsia="宋体"/>
              </w:rPr>
              <w:t>≤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7.0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GB 5009.3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灰分，g/100g           ≤</w:t>
            </w:r>
          </w:p>
        </w:tc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6.0</w:t>
            </w:r>
          </w:p>
        </w:tc>
        <w:tc>
          <w:tcPr>
            <w:tcW w:w="32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GB 5009.4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 w:eastAsia="宋体"/>
                <w:vertAlign w:val="superscript"/>
              </w:rPr>
              <w:t>a</w:t>
            </w:r>
            <w:r>
              <w:t>纳豆激酶用附</w:t>
            </w:r>
            <w:r>
              <w:rPr>
                <w:rFonts w:eastAsia="宋体"/>
              </w:rPr>
              <w:t>录A或附录B其中一个</w:t>
            </w:r>
            <w:r>
              <w:t>方法检测符合相应要求即视为合格。</w:t>
            </w:r>
          </w:p>
          <w:p>
            <w:pPr>
              <w:jc w:val="left"/>
            </w:pPr>
            <w:r>
              <w:rPr>
                <w:rFonts w:hint="eastAsia" w:eastAsia="宋体"/>
                <w:vertAlign w:val="superscript"/>
              </w:rPr>
              <w:t>b</w:t>
            </w:r>
            <w:r>
              <w:rPr>
                <w:rFonts w:hint="eastAsia" w:ascii="宋体" w:hAnsi="宋体"/>
                <w:color w:val="000000"/>
                <w:szCs w:val="21"/>
              </w:rPr>
              <w:t>氮折算成蛋白质的系数，以6.25计。</w:t>
            </w:r>
          </w:p>
        </w:tc>
      </w:tr>
    </w:tbl>
    <w:p>
      <w:pPr>
        <w:pStyle w:val="60"/>
        <w:spacing w:beforeLines="50" w:afterLines="50"/>
        <w:ind w:left="0"/>
      </w:pPr>
      <w:r>
        <w:t>污染物限量和真菌毒素限量</w:t>
      </w:r>
    </w:p>
    <w:p>
      <w:pPr>
        <w:pStyle w:val="60"/>
        <w:numPr>
          <w:ilvl w:val="3"/>
          <w:numId w:val="1"/>
        </w:numPr>
        <w:spacing w:line="360" w:lineRule="auto"/>
        <w:rPr>
          <w:rFonts w:ascii="宋体" w:hAnsi="宋体" w:eastAsia="宋体"/>
        </w:rPr>
      </w:pPr>
      <w:r>
        <w:rPr>
          <w:rFonts w:eastAsia="宋体"/>
        </w:rPr>
        <w:t>污染物限量</w:t>
      </w:r>
      <w:r>
        <w:rPr>
          <w:rFonts w:ascii="宋体" w:hAnsi="宋体" w:eastAsia="宋体"/>
        </w:rPr>
        <w:t>应符合GB 2762的规定。</w:t>
      </w:r>
    </w:p>
    <w:p>
      <w:pPr>
        <w:pStyle w:val="60"/>
        <w:numPr>
          <w:ilvl w:val="3"/>
          <w:numId w:val="1"/>
        </w:numPr>
        <w:spacing w:line="360" w:lineRule="auto"/>
        <w:ind w:left="735" w:hanging="735" w:hangingChars="350"/>
        <w:rPr>
          <w:rFonts w:eastAsia="宋体"/>
        </w:rPr>
      </w:pPr>
      <w:r>
        <w:rPr>
          <w:rFonts w:ascii="宋体" w:hAnsi="宋体" w:eastAsia="宋体"/>
        </w:rPr>
        <w:t>真菌毒素限量应符合GB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2761的规定</w:t>
      </w:r>
      <w:r>
        <w:rPr>
          <w:rFonts w:eastAsia="宋体"/>
        </w:rPr>
        <w:t>。</w:t>
      </w:r>
    </w:p>
    <w:p>
      <w:pPr>
        <w:pStyle w:val="60"/>
        <w:spacing w:beforeLines="50" w:afterLines="50"/>
        <w:ind w:left="0"/>
      </w:pPr>
      <w:r>
        <w:t>微生物限量</w:t>
      </w:r>
    </w:p>
    <w:p>
      <w:pPr>
        <w:pStyle w:val="60"/>
        <w:numPr>
          <w:ilvl w:val="3"/>
          <w:numId w:val="1"/>
        </w:numPr>
        <w:spacing w:line="360" w:lineRule="auto"/>
        <w:rPr>
          <w:szCs w:val="22"/>
        </w:rPr>
      </w:pPr>
      <w:r>
        <w:rPr>
          <w:rFonts w:hAnsi="宋体" w:eastAsia="宋体"/>
          <w:szCs w:val="22"/>
        </w:rPr>
        <w:t>微生物限量</w:t>
      </w:r>
      <w:r>
        <w:rPr>
          <w:rFonts w:eastAsia="宋体"/>
          <w:szCs w:val="22"/>
        </w:rPr>
        <w:t>应符合GB 2712</w:t>
      </w:r>
      <w:r>
        <w:rPr>
          <w:rFonts w:hint="eastAsia" w:eastAsia="宋体"/>
          <w:szCs w:val="22"/>
        </w:rPr>
        <w:t>的规定。</w:t>
      </w:r>
    </w:p>
    <w:p>
      <w:pPr>
        <w:pStyle w:val="60"/>
        <w:spacing w:beforeLines="50" w:afterLines="50"/>
        <w:ind w:left="0"/>
      </w:pPr>
      <w:r>
        <w:t>食品添加剂</w:t>
      </w:r>
      <w:r>
        <w:rPr>
          <w:rFonts w:hint="eastAsia"/>
        </w:rPr>
        <w:t>、食品营养强化剂</w:t>
      </w:r>
      <w:r>
        <w:t>要求</w:t>
      </w:r>
    </w:p>
    <w:p>
      <w:pPr>
        <w:pStyle w:val="60"/>
        <w:numPr>
          <w:ilvl w:val="3"/>
          <w:numId w:val="1"/>
        </w:numPr>
        <w:spacing w:line="360" w:lineRule="auto"/>
        <w:rPr>
          <w:rFonts w:eastAsia="宋体"/>
        </w:rPr>
      </w:pPr>
      <w:r>
        <w:rPr>
          <w:rFonts w:hint="eastAsia" w:hAnsi="宋体" w:eastAsia="宋体"/>
        </w:rPr>
        <w:t>食品添加剂的使用应符合</w:t>
      </w:r>
      <w:r>
        <w:rPr>
          <w:rFonts w:eastAsia="宋体"/>
        </w:rPr>
        <w:t>GB 2760</w:t>
      </w:r>
      <w:r>
        <w:rPr>
          <w:rFonts w:hAnsi="宋体" w:eastAsia="宋体"/>
        </w:rPr>
        <w:t>的规定。</w:t>
      </w:r>
    </w:p>
    <w:p>
      <w:pPr>
        <w:pStyle w:val="60"/>
        <w:numPr>
          <w:ilvl w:val="3"/>
          <w:numId w:val="1"/>
        </w:numPr>
        <w:spacing w:line="360" w:lineRule="auto"/>
        <w:rPr>
          <w:rFonts w:eastAsia="宋体"/>
        </w:rPr>
      </w:pPr>
      <w:r>
        <w:rPr>
          <w:rFonts w:hint="eastAsia" w:hAnsi="宋体" w:eastAsia="宋体"/>
        </w:rPr>
        <w:t>食品营养强化剂的使用应符合</w:t>
      </w:r>
      <w:r>
        <w:rPr>
          <w:rFonts w:eastAsia="宋体"/>
        </w:rPr>
        <w:t>GB 14880</w:t>
      </w:r>
      <w:r>
        <w:rPr>
          <w:rFonts w:hint="eastAsia" w:hAnsi="宋体" w:eastAsia="宋体"/>
        </w:rPr>
        <w:t>的规定。</w:t>
      </w:r>
    </w:p>
    <w:p>
      <w:pPr>
        <w:pStyle w:val="78"/>
        <w:spacing w:before="156" w:after="156"/>
        <w:rPr>
          <w:rFonts w:ascii="Times New Roman"/>
        </w:rPr>
      </w:pPr>
      <w:r>
        <w:rPr>
          <w:rFonts w:ascii="Times New Roman"/>
        </w:rPr>
        <w:t>生产加工过程的卫生要求</w:t>
      </w:r>
    </w:p>
    <w:p>
      <w:pPr>
        <w:pStyle w:val="46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应符</w:t>
      </w:r>
      <w:r>
        <w:rPr>
          <w:rFonts w:ascii="Times New Roman" w:hAnsi="宋体" w:eastAsia="宋体"/>
        </w:rPr>
        <w:t>合</w:t>
      </w:r>
      <w:r>
        <w:rPr>
          <w:rFonts w:ascii="Times New Roman" w:eastAsia="宋体"/>
        </w:rPr>
        <w:t>GB 14881</w:t>
      </w:r>
      <w:r>
        <w:rPr>
          <w:rFonts w:ascii="Times New Roman" w:hAnsi="宋体" w:eastAsia="宋体"/>
        </w:rPr>
        <w:t>的规定。</w:t>
      </w:r>
    </w:p>
    <w:p>
      <w:pPr>
        <w:pStyle w:val="78"/>
        <w:spacing w:before="156" w:after="156"/>
        <w:rPr>
          <w:rFonts w:ascii="Times New Roman"/>
          <w:szCs w:val="22"/>
        </w:rPr>
      </w:pPr>
      <w:r>
        <w:rPr>
          <w:rFonts w:ascii="Times New Roman"/>
          <w:szCs w:val="22"/>
        </w:rPr>
        <w:t>标签、包装</w:t>
      </w:r>
    </w:p>
    <w:p>
      <w:pPr>
        <w:pStyle w:val="60"/>
        <w:snapToGrid w:val="0"/>
        <w:spacing w:beforeLines="50" w:afterLines="50"/>
        <w:ind w:left="0"/>
        <w:rPr>
          <w:szCs w:val="22"/>
        </w:rPr>
      </w:pPr>
      <w:bookmarkStart w:id="1" w:name="_Toc390288340"/>
      <w:r>
        <w:rPr>
          <w:szCs w:val="22"/>
        </w:rPr>
        <w:t>标签</w:t>
      </w:r>
      <w:bookmarkEnd w:id="1"/>
    </w:p>
    <w:p>
      <w:pPr>
        <w:pStyle w:val="60"/>
        <w:numPr>
          <w:ilvl w:val="2"/>
          <w:numId w:val="0"/>
        </w:numPr>
        <w:snapToGrid w:val="0"/>
        <w:spacing w:beforeLines="50" w:afterLines="50" w:line="360" w:lineRule="auto"/>
        <w:ind w:firstLine="420" w:firstLineChars="200"/>
        <w:rPr>
          <w:szCs w:val="22"/>
        </w:rPr>
      </w:pPr>
      <w:r>
        <w:rPr>
          <w:rFonts w:eastAsia="宋体"/>
          <w:szCs w:val="22"/>
        </w:rPr>
        <w:t>预包装食品</w:t>
      </w:r>
      <w:r>
        <w:rPr>
          <w:rFonts w:hint="eastAsia" w:eastAsia="宋体"/>
          <w:szCs w:val="22"/>
        </w:rPr>
        <w:t>标</w:t>
      </w:r>
      <w:r>
        <w:rPr>
          <w:rFonts w:hAnsi="宋体" w:eastAsia="宋体"/>
          <w:szCs w:val="22"/>
        </w:rPr>
        <w:t>签应符合</w:t>
      </w:r>
      <w:r>
        <w:rPr>
          <w:rFonts w:eastAsia="宋体"/>
          <w:szCs w:val="22"/>
        </w:rPr>
        <w:t xml:space="preserve">GB 7718 </w:t>
      </w:r>
      <w:r>
        <w:rPr>
          <w:rFonts w:hAnsi="宋体" w:eastAsia="宋体"/>
          <w:szCs w:val="22"/>
        </w:rPr>
        <w:t>和</w:t>
      </w:r>
      <w:r>
        <w:rPr>
          <w:rFonts w:eastAsia="宋体"/>
          <w:szCs w:val="22"/>
        </w:rPr>
        <w:t>GB 28050</w:t>
      </w:r>
      <w:r>
        <w:rPr>
          <w:rFonts w:hAnsi="宋体" w:eastAsia="宋体"/>
          <w:szCs w:val="22"/>
        </w:rPr>
        <w:t>的要求。</w:t>
      </w:r>
    </w:p>
    <w:p>
      <w:pPr>
        <w:pStyle w:val="60"/>
        <w:snapToGrid w:val="0"/>
        <w:spacing w:beforeLines="50" w:afterLines="50"/>
        <w:ind w:left="0"/>
        <w:rPr>
          <w:szCs w:val="22"/>
        </w:rPr>
      </w:pPr>
      <w:r>
        <w:rPr>
          <w:szCs w:val="22"/>
        </w:rPr>
        <w:t>包装</w:t>
      </w:r>
    </w:p>
    <w:p>
      <w:pPr>
        <w:pStyle w:val="60"/>
        <w:numPr>
          <w:ilvl w:val="2"/>
          <w:numId w:val="0"/>
        </w:numPr>
        <w:snapToGrid w:val="0"/>
        <w:spacing w:beforeLines="50" w:afterLines="50" w:line="360" w:lineRule="auto"/>
        <w:ind w:firstLine="420" w:firstLineChars="200"/>
        <w:rPr>
          <w:rFonts w:eastAsia="宋体"/>
          <w:szCs w:val="22"/>
        </w:rPr>
      </w:pPr>
      <w:r>
        <w:rPr>
          <w:rFonts w:eastAsia="宋体"/>
          <w:szCs w:val="22"/>
        </w:rPr>
        <w:t>食品包装材料或容器应符合</w:t>
      </w:r>
      <w:r>
        <w:rPr>
          <w:rFonts w:hint="eastAsia" w:eastAsia="宋体"/>
          <w:szCs w:val="22"/>
        </w:rPr>
        <w:t>相应</w:t>
      </w:r>
      <w:r>
        <w:rPr>
          <w:rFonts w:eastAsia="宋体"/>
          <w:szCs w:val="22"/>
        </w:rPr>
        <w:t>食品安全标准及有关规定。</w:t>
      </w:r>
    </w:p>
    <w:p>
      <w:pPr>
        <w:pStyle w:val="52"/>
        <w:spacing w:before="312" w:after="0"/>
        <w:rPr>
          <w:rFonts w:hAnsi="黑体"/>
          <w:szCs w:val="21"/>
        </w:rPr>
      </w:pPr>
      <w:r>
        <w:rPr>
          <w:rFonts w:ascii="Times New Roman"/>
        </w:rPr>
        <w:br w:type="page"/>
      </w:r>
      <w:r>
        <w:rPr>
          <w:rFonts w:hAnsi="黑体"/>
          <w:szCs w:val="21"/>
        </w:rPr>
        <w:t>附录A</w:t>
      </w:r>
      <w:r>
        <w:rPr>
          <w:rFonts w:hint="eastAsia" w:hAnsi="黑体"/>
          <w:szCs w:val="21"/>
        </w:rPr>
        <w:t xml:space="preserve">  </w:t>
      </w:r>
    </w:p>
    <w:p>
      <w:pPr>
        <w:pStyle w:val="52"/>
        <w:spacing w:before="0" w:after="0" w:line="360" w:lineRule="auto"/>
        <w:rPr>
          <w:rFonts w:hAnsi="黑体"/>
          <w:szCs w:val="21"/>
        </w:rPr>
      </w:pPr>
      <w:r>
        <w:rPr>
          <w:rFonts w:hint="eastAsia" w:hAnsi="黑体"/>
          <w:szCs w:val="21"/>
        </w:rPr>
        <w:t>纳豆激酶测定方法--</w:t>
      </w:r>
      <w:r>
        <w:rPr>
          <w:rFonts w:hAnsi="黑体"/>
          <w:szCs w:val="21"/>
        </w:rPr>
        <w:t>紫外分光光度法</w:t>
      </w:r>
    </w:p>
    <w:p>
      <w:pPr>
        <w:pStyle w:val="78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范围</w:t>
      </w:r>
    </w:p>
    <w:p>
      <w:pPr>
        <w:pStyle w:val="60"/>
        <w:numPr>
          <w:ilvl w:val="2"/>
          <w:numId w:val="0"/>
        </w:numPr>
        <w:spacing w:beforeLines="20" w:afterLines="20" w:line="276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本</w:t>
      </w:r>
      <w:r>
        <w:rPr>
          <w:rFonts w:hint="eastAsia" w:ascii="宋体" w:hAnsi="宋体" w:eastAsia="宋体"/>
        </w:rPr>
        <w:t>方法适用于纳豆粉中纳豆激酶的测定</w:t>
      </w:r>
      <w:r>
        <w:rPr>
          <w:rFonts w:ascii="宋体" w:hAnsi="宋体" w:eastAsia="宋体"/>
        </w:rPr>
        <w:t>。</w:t>
      </w:r>
    </w:p>
    <w:p>
      <w:pPr>
        <w:pStyle w:val="60"/>
        <w:numPr>
          <w:ilvl w:val="2"/>
          <w:numId w:val="0"/>
        </w:numPr>
        <w:spacing w:beforeLines="20" w:afterLines="20" w:line="276" w:lineRule="auto"/>
        <w:ind w:left="426"/>
        <w:rPr>
          <w:rFonts w:ascii="宋体" w:hAnsi="宋体" w:eastAsia="宋体"/>
        </w:rPr>
      </w:pPr>
      <w:r>
        <w:rPr>
          <w:rFonts w:ascii="宋体" w:hAnsi="宋体" w:eastAsia="宋体"/>
        </w:rPr>
        <w:t>本方法的检测浓度范围为0.67</w:t>
      </w:r>
      <w:r>
        <w:rPr>
          <w:rFonts w:eastAsia="宋体"/>
          <w:szCs w:val="21"/>
          <w:lang w:val="zh-CN"/>
        </w:rPr>
        <w:t>~</w:t>
      </w:r>
      <w:r>
        <w:rPr>
          <w:rFonts w:ascii="宋体" w:hAnsi="宋体" w:eastAsia="宋体"/>
        </w:rPr>
        <w:t>1.33 FU/mL。</w:t>
      </w:r>
    </w:p>
    <w:p>
      <w:pPr>
        <w:pStyle w:val="78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原理</w:t>
      </w:r>
    </w:p>
    <w:p>
      <w:pPr>
        <w:pStyle w:val="60"/>
        <w:numPr>
          <w:ilvl w:val="2"/>
          <w:numId w:val="0"/>
        </w:numPr>
        <w:spacing w:beforeLines="20" w:afterLines="20" w:line="276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纳豆粉中的纳豆激酶与纤维蛋白发生反应，使纤维蛋白肽键水解。水解反应</w:t>
      </w:r>
      <w:r>
        <w:rPr>
          <w:rFonts w:hint="eastAsia" w:ascii="宋体" w:hAnsi="宋体" w:eastAsia="宋体"/>
        </w:rPr>
        <w:t>使溶液</w:t>
      </w:r>
      <w:r>
        <w:rPr>
          <w:rFonts w:ascii="宋体" w:hAnsi="宋体" w:eastAsia="宋体"/>
        </w:rPr>
        <w:t>在紫外光275 nm</w:t>
      </w:r>
      <w:r>
        <w:rPr>
          <w:rFonts w:hint="eastAsia" w:ascii="宋体" w:hAnsi="宋体" w:eastAsia="宋体"/>
        </w:rPr>
        <w:t>处</w:t>
      </w:r>
      <w:r>
        <w:rPr>
          <w:rFonts w:ascii="宋体" w:hAnsi="宋体" w:eastAsia="宋体"/>
        </w:rPr>
        <w:t>吸光度发生变化。用紫外分光光度计测定水解反应前后吸光度的变化，通过换算间接得出纳豆激酶的活力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单位用FU表示。一个活力单位（</w:t>
      </w:r>
      <w:bookmarkStart w:id="2" w:name="_Hlk515981759"/>
      <w:r>
        <w:rPr>
          <w:rFonts w:ascii="宋体" w:hAnsi="宋体" w:eastAsia="宋体"/>
        </w:rPr>
        <w:t>1 FU</w:t>
      </w:r>
      <w:bookmarkEnd w:id="2"/>
      <w:r>
        <w:rPr>
          <w:rFonts w:ascii="宋体" w:hAnsi="宋体" w:eastAsia="宋体"/>
        </w:rPr>
        <w:t>）是指在275 nm下，使吸光度值每增加0.01时消耗的酶量。</w:t>
      </w:r>
    </w:p>
    <w:p>
      <w:pPr>
        <w:pStyle w:val="78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试剂配置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/>
        </w:rPr>
      </w:pPr>
      <w:r>
        <w:rPr>
          <w:rFonts w:ascii="Times New Roman" w:hAnsi="宋体" w:eastAsia="宋体"/>
          <w:szCs w:val="21"/>
          <w:lang w:val="zh-CN"/>
        </w:rPr>
        <w:t>实验用水为一级水。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磷酸氢二钠（</w:t>
      </w:r>
      <w:r>
        <w:rPr>
          <w:rFonts w:ascii="Times New Roman" w:eastAsia="宋体"/>
          <w:szCs w:val="21"/>
          <w:lang w:val="zh-CN"/>
        </w:rPr>
        <w:t>Na</w:t>
      </w:r>
      <w:r>
        <w:rPr>
          <w:rFonts w:ascii="Times New Roman" w:eastAsia="宋体"/>
          <w:szCs w:val="21"/>
          <w:vertAlign w:val="subscript"/>
          <w:lang w:val="zh-CN"/>
        </w:rPr>
        <w:t>2</w:t>
      </w:r>
      <w:r>
        <w:rPr>
          <w:rFonts w:ascii="Times New Roman" w:eastAsia="宋体"/>
          <w:szCs w:val="21"/>
          <w:lang w:val="zh-CN"/>
        </w:rPr>
        <w:t>HPO</w:t>
      </w:r>
      <w:r>
        <w:rPr>
          <w:rFonts w:ascii="Times New Roman" w:eastAsia="宋体"/>
          <w:szCs w:val="21"/>
          <w:vertAlign w:val="subscript"/>
          <w:lang w:val="zh-CN"/>
        </w:rPr>
        <w:t>4</w:t>
      </w:r>
      <w:r>
        <w:rPr>
          <w:rFonts w:ascii="Times New Roman" w:eastAsia="宋体"/>
          <w:szCs w:val="21"/>
          <w:lang w:val="zh-CN"/>
        </w:rPr>
        <w:t>·12H</w:t>
      </w:r>
      <w:r>
        <w:rPr>
          <w:rFonts w:ascii="Times New Roman" w:eastAsia="宋体"/>
          <w:szCs w:val="21"/>
          <w:vertAlign w:val="subscript"/>
          <w:lang w:val="zh-CN"/>
        </w:rPr>
        <w:t>2</w:t>
      </w:r>
      <w:r>
        <w:rPr>
          <w:rFonts w:ascii="Times New Roman" w:eastAsia="宋体"/>
          <w:szCs w:val="21"/>
          <w:lang w:val="zh-CN"/>
        </w:rPr>
        <w:t>O</w:t>
      </w:r>
      <w:r>
        <w:rPr>
          <w:rFonts w:ascii="Times New Roman" w:hAnsi="宋体" w:eastAsia="宋体"/>
          <w:szCs w:val="21"/>
          <w:lang w:val="zh-CN"/>
        </w:rPr>
        <w:t>）：分析纯；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磷酸二氢钠（</w:t>
      </w:r>
      <w:r>
        <w:rPr>
          <w:rFonts w:ascii="Times New Roman" w:eastAsia="宋体"/>
          <w:szCs w:val="21"/>
          <w:lang w:val="zh-CN"/>
        </w:rPr>
        <w:t>NaH</w:t>
      </w:r>
      <w:r>
        <w:rPr>
          <w:rFonts w:ascii="Times New Roman" w:eastAsia="宋体"/>
          <w:szCs w:val="21"/>
          <w:vertAlign w:val="subscript"/>
          <w:lang w:val="zh-CN"/>
        </w:rPr>
        <w:t>2</w:t>
      </w:r>
      <w:r>
        <w:rPr>
          <w:rFonts w:ascii="Times New Roman" w:eastAsia="宋体"/>
          <w:szCs w:val="21"/>
          <w:lang w:val="zh-CN"/>
        </w:rPr>
        <w:t>PO</w:t>
      </w:r>
      <w:r>
        <w:rPr>
          <w:rFonts w:ascii="Times New Roman" w:eastAsia="宋体"/>
          <w:szCs w:val="21"/>
          <w:vertAlign w:val="subscript"/>
          <w:lang w:val="zh-CN"/>
        </w:rPr>
        <w:t>4</w:t>
      </w:r>
      <w:r>
        <w:rPr>
          <w:rFonts w:ascii="Times New Roman" w:eastAsia="宋体"/>
          <w:szCs w:val="21"/>
          <w:lang w:val="zh-CN"/>
        </w:rPr>
        <w:t>·2H</w:t>
      </w:r>
      <w:r>
        <w:rPr>
          <w:rFonts w:ascii="Times New Roman" w:eastAsia="宋体"/>
          <w:szCs w:val="21"/>
          <w:vertAlign w:val="subscript"/>
          <w:lang w:val="zh-CN"/>
        </w:rPr>
        <w:t>2</w:t>
      </w:r>
      <w:r>
        <w:rPr>
          <w:rFonts w:ascii="Times New Roman" w:eastAsia="宋体"/>
          <w:szCs w:val="21"/>
          <w:lang w:val="zh-CN"/>
        </w:rPr>
        <w:t>O</w:t>
      </w:r>
      <w:r>
        <w:rPr>
          <w:rFonts w:ascii="Times New Roman" w:hAnsi="宋体" w:eastAsia="宋体"/>
          <w:szCs w:val="21"/>
          <w:lang w:val="zh-CN"/>
        </w:rPr>
        <w:t>）：分析纯；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氯化钠（</w:t>
      </w:r>
      <w:r>
        <w:rPr>
          <w:rFonts w:ascii="Times New Roman" w:eastAsia="宋体"/>
          <w:szCs w:val="21"/>
          <w:lang w:val="zh-CN"/>
        </w:rPr>
        <w:t>NaCl</w:t>
      </w:r>
      <w:r>
        <w:rPr>
          <w:rFonts w:ascii="Times New Roman" w:hAnsi="宋体" w:eastAsia="宋体"/>
          <w:szCs w:val="21"/>
          <w:lang w:val="zh-CN"/>
        </w:rPr>
        <w:t>）：分析纯；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盐酸（</w:t>
      </w:r>
      <w:r>
        <w:rPr>
          <w:rFonts w:ascii="Times New Roman" w:eastAsia="宋体"/>
          <w:szCs w:val="21"/>
          <w:lang w:val="zh-CN"/>
        </w:rPr>
        <w:t>HCl</w:t>
      </w:r>
      <w:r>
        <w:rPr>
          <w:rFonts w:ascii="Times New Roman" w:hAnsi="宋体" w:eastAsia="宋体"/>
          <w:szCs w:val="21"/>
          <w:lang w:val="zh-CN"/>
        </w:rPr>
        <w:t>）：分析纯；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三氯乙酸（</w:t>
      </w:r>
      <w:r>
        <w:rPr>
          <w:rFonts w:ascii="Times New Roman" w:eastAsia="宋体"/>
          <w:szCs w:val="21"/>
          <w:lang w:val="zh-CN"/>
        </w:rPr>
        <w:t>TCA</w:t>
      </w:r>
      <w:r>
        <w:rPr>
          <w:rFonts w:ascii="Times New Roman" w:hAnsi="宋体" w:eastAsia="宋体"/>
          <w:szCs w:val="21"/>
          <w:lang w:val="zh-CN"/>
        </w:rPr>
        <w:t>）：分析纯；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纤维蛋白原：</w:t>
      </w:r>
      <w:r>
        <w:rPr>
          <w:rFonts w:ascii="Times New Roman" w:eastAsia="宋体"/>
          <w:szCs w:val="21"/>
          <w:lang w:val="zh-CN"/>
        </w:rPr>
        <w:t>CAS</w:t>
      </w:r>
      <w:r>
        <w:rPr>
          <w:rFonts w:ascii="Times New Roman" w:hAnsi="宋体" w:eastAsia="宋体"/>
          <w:szCs w:val="21"/>
          <w:lang w:val="zh-CN"/>
        </w:rPr>
        <w:t>：</w:t>
      </w:r>
      <w:r>
        <w:rPr>
          <w:rFonts w:ascii="Times New Roman" w:eastAsia="宋体"/>
          <w:szCs w:val="21"/>
          <w:lang w:val="zh-CN"/>
        </w:rPr>
        <w:t>9001-32-5</w:t>
      </w:r>
      <w:r>
        <w:rPr>
          <w:rFonts w:ascii="Times New Roman" w:hAnsi="宋体" w:eastAsia="宋体"/>
          <w:szCs w:val="21"/>
          <w:lang w:val="zh-CN"/>
        </w:rPr>
        <w:t>，</w:t>
      </w:r>
      <w:r>
        <w:rPr>
          <w:rFonts w:ascii="Times New Roman" w:eastAsia="宋体"/>
          <w:szCs w:val="21"/>
          <w:lang w:val="zh-CN"/>
        </w:rPr>
        <w:t>SIGMA</w:t>
      </w:r>
      <w:r>
        <w:rPr>
          <w:rFonts w:ascii="Times New Roman" w:hAnsi="宋体" w:eastAsia="宋体"/>
          <w:szCs w:val="21"/>
          <w:lang w:val="zh-CN"/>
        </w:rPr>
        <w:t>，提取自牛血浆，产品编号</w:t>
      </w:r>
      <w:r>
        <w:rPr>
          <w:rFonts w:ascii="Times New Roman" w:eastAsia="宋体"/>
          <w:szCs w:val="21"/>
          <w:lang w:val="zh-CN"/>
        </w:rPr>
        <w:t>F8630</w:t>
      </w:r>
      <w:r>
        <w:rPr>
          <w:rFonts w:ascii="Times New Roman" w:hAnsi="宋体" w:eastAsia="宋体"/>
          <w:szCs w:val="21"/>
          <w:lang w:val="zh-CN"/>
        </w:rPr>
        <w:t>，规格：</w:t>
      </w:r>
      <w:r>
        <w:rPr>
          <w:rFonts w:ascii="Times New Roman" w:eastAsia="宋体"/>
          <w:szCs w:val="21"/>
          <w:lang w:val="zh-CN"/>
        </w:rPr>
        <w:t>5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g/</w:t>
      </w:r>
      <w:r>
        <w:rPr>
          <w:rFonts w:ascii="Times New Roman" w:hAnsi="宋体" w:eastAsia="宋体"/>
          <w:szCs w:val="21"/>
          <w:lang w:val="zh-CN"/>
        </w:rPr>
        <w:t>瓶，含量：</w:t>
      </w:r>
      <w:r>
        <w:rPr>
          <w:rFonts w:ascii="Times New Roman" w:eastAsia="宋体"/>
          <w:szCs w:val="21"/>
          <w:lang w:val="zh-CN"/>
        </w:rPr>
        <w:t>65-85%</w:t>
      </w:r>
      <w:r>
        <w:rPr>
          <w:rFonts w:ascii="Times New Roman" w:hAnsi="宋体" w:eastAsia="宋体"/>
          <w:szCs w:val="21"/>
          <w:lang w:val="zh-CN"/>
        </w:rPr>
        <w:t>；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凝血酶：</w:t>
      </w:r>
      <w:r>
        <w:rPr>
          <w:rFonts w:ascii="Times New Roman" w:eastAsia="宋体"/>
          <w:szCs w:val="21"/>
          <w:lang w:val="zh-CN"/>
        </w:rPr>
        <w:t>CAS</w:t>
      </w:r>
      <w:r>
        <w:rPr>
          <w:rFonts w:ascii="Times New Roman" w:hAnsi="宋体" w:eastAsia="宋体"/>
          <w:szCs w:val="21"/>
          <w:lang w:val="zh-CN"/>
        </w:rPr>
        <w:t>：</w:t>
      </w:r>
      <w:r>
        <w:rPr>
          <w:rFonts w:ascii="Times New Roman" w:eastAsia="宋体"/>
          <w:szCs w:val="21"/>
          <w:lang w:val="zh-CN"/>
        </w:rPr>
        <w:t>9002-04-4</w:t>
      </w:r>
      <w:r>
        <w:rPr>
          <w:rFonts w:ascii="Times New Roman" w:hAnsi="宋体" w:eastAsia="宋体"/>
          <w:szCs w:val="21"/>
          <w:lang w:val="zh-CN"/>
        </w:rPr>
        <w:t>，</w:t>
      </w:r>
      <w:r>
        <w:rPr>
          <w:rFonts w:ascii="Times New Roman" w:eastAsia="宋体"/>
          <w:szCs w:val="21"/>
          <w:lang w:val="zh-CN"/>
        </w:rPr>
        <w:t>SIGMA</w:t>
      </w:r>
      <w:r>
        <w:rPr>
          <w:rFonts w:ascii="Times New Roman" w:hAnsi="宋体" w:eastAsia="宋体"/>
          <w:szCs w:val="21"/>
          <w:lang w:val="zh-CN"/>
        </w:rPr>
        <w:t>，提取自牛血浆，产品编号</w:t>
      </w:r>
      <w:r>
        <w:rPr>
          <w:rFonts w:ascii="Times New Roman" w:eastAsia="宋体"/>
          <w:szCs w:val="21"/>
          <w:lang w:val="zh-CN"/>
        </w:rPr>
        <w:t>T4648</w:t>
      </w:r>
      <w:r>
        <w:rPr>
          <w:rFonts w:ascii="Times New Roman" w:hAnsi="宋体" w:eastAsia="宋体"/>
          <w:szCs w:val="21"/>
          <w:lang w:val="zh-CN"/>
        </w:rPr>
        <w:t>，规格：</w:t>
      </w:r>
      <w:r>
        <w:rPr>
          <w:rFonts w:ascii="Times New Roman" w:eastAsia="宋体"/>
          <w:szCs w:val="21"/>
          <w:lang w:val="zh-CN"/>
        </w:rPr>
        <w:t>21.6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mg/</w:t>
      </w:r>
      <w:r>
        <w:rPr>
          <w:rFonts w:ascii="Times New Roman" w:hAnsi="宋体" w:eastAsia="宋体"/>
          <w:szCs w:val="21"/>
          <w:lang w:val="zh-CN"/>
        </w:rPr>
        <w:t>瓶，含量：</w:t>
      </w:r>
      <w:r>
        <w:rPr>
          <w:rFonts w:ascii="Times New Roman" w:eastAsia="宋体"/>
          <w:szCs w:val="21"/>
          <w:lang w:val="zh-CN"/>
        </w:rPr>
        <w:t>1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KU</w:t>
      </w:r>
      <w:r>
        <w:rPr>
          <w:rFonts w:ascii="Times New Roman" w:hAnsi="宋体" w:eastAsia="宋体"/>
          <w:szCs w:val="21"/>
          <w:lang w:val="zh-CN"/>
        </w:rPr>
        <w:t>；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醋酸（</w:t>
      </w:r>
      <w:r>
        <w:rPr>
          <w:rFonts w:ascii="Times New Roman" w:eastAsia="宋体"/>
          <w:szCs w:val="21"/>
          <w:lang w:val="zh-CN"/>
        </w:rPr>
        <w:t>CH</w:t>
      </w:r>
      <w:r>
        <w:rPr>
          <w:rFonts w:ascii="Times New Roman" w:eastAsia="宋体"/>
          <w:szCs w:val="21"/>
          <w:vertAlign w:val="subscript"/>
          <w:lang w:val="zh-CN"/>
        </w:rPr>
        <w:t>3</w:t>
      </w:r>
      <w:r>
        <w:rPr>
          <w:rFonts w:ascii="Times New Roman" w:eastAsia="宋体"/>
          <w:szCs w:val="21"/>
          <w:lang w:val="zh-CN"/>
        </w:rPr>
        <w:t>COOH</w:t>
      </w:r>
      <w:r>
        <w:rPr>
          <w:rFonts w:ascii="Times New Roman" w:hAnsi="宋体" w:eastAsia="宋体"/>
          <w:szCs w:val="21"/>
          <w:lang w:val="zh-CN"/>
        </w:rPr>
        <w:t>）：分析纯；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醋酸钠（</w:t>
      </w:r>
      <w:r>
        <w:rPr>
          <w:rFonts w:ascii="Times New Roman" w:eastAsia="宋体"/>
          <w:szCs w:val="21"/>
          <w:lang w:val="zh-CN"/>
        </w:rPr>
        <w:t>CH</w:t>
      </w:r>
      <w:r>
        <w:rPr>
          <w:rFonts w:ascii="Times New Roman" w:eastAsia="宋体"/>
          <w:szCs w:val="21"/>
          <w:vertAlign w:val="subscript"/>
          <w:lang w:val="zh-CN"/>
        </w:rPr>
        <w:t>3</w:t>
      </w:r>
      <w:r>
        <w:rPr>
          <w:rFonts w:ascii="Times New Roman" w:eastAsia="宋体"/>
          <w:szCs w:val="21"/>
          <w:lang w:val="zh-CN"/>
        </w:rPr>
        <w:t>COONa·3H</w:t>
      </w:r>
      <w:r>
        <w:rPr>
          <w:rFonts w:ascii="Times New Roman" w:eastAsia="宋体"/>
          <w:szCs w:val="21"/>
          <w:vertAlign w:val="subscript"/>
          <w:lang w:val="zh-CN"/>
        </w:rPr>
        <w:t>2</w:t>
      </w:r>
      <w:r>
        <w:rPr>
          <w:rFonts w:ascii="Times New Roman" w:eastAsia="宋体"/>
          <w:szCs w:val="21"/>
          <w:lang w:val="zh-CN"/>
        </w:rPr>
        <w:t>O</w:t>
      </w:r>
      <w:r>
        <w:rPr>
          <w:rFonts w:ascii="Times New Roman" w:hAnsi="宋体" w:eastAsia="宋体"/>
          <w:szCs w:val="21"/>
          <w:lang w:val="zh-CN"/>
        </w:rPr>
        <w:t>）：分析纯；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eastAsia="宋体"/>
          <w:szCs w:val="21"/>
          <w:lang w:val="zh-CN"/>
        </w:rPr>
        <w:t>Triton X-10</w:t>
      </w:r>
      <w:r>
        <w:rPr>
          <w:rFonts w:hint="eastAsia" w:ascii="Times New Roman" w:eastAsia="宋体"/>
          <w:szCs w:val="21"/>
          <w:lang w:val="zh-CN"/>
        </w:rPr>
        <w:t>0</w:t>
      </w:r>
      <w:r>
        <w:rPr>
          <w:rFonts w:ascii="Times New Roman" w:hAnsi="宋体" w:eastAsia="宋体"/>
          <w:szCs w:val="21"/>
          <w:lang w:val="zh-CN"/>
        </w:rPr>
        <w:t>：分析纯；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硫酸钙（</w:t>
      </w:r>
      <w:r>
        <w:rPr>
          <w:rFonts w:ascii="Times New Roman" w:eastAsia="宋体"/>
          <w:szCs w:val="21"/>
          <w:lang w:val="zh-CN"/>
        </w:rPr>
        <w:t>CaSO</w:t>
      </w:r>
      <w:r>
        <w:rPr>
          <w:rFonts w:ascii="Times New Roman" w:eastAsia="宋体"/>
          <w:szCs w:val="21"/>
          <w:vertAlign w:val="subscript"/>
          <w:lang w:val="zh-CN"/>
        </w:rPr>
        <w:t>4</w:t>
      </w:r>
      <w:r>
        <w:rPr>
          <w:rFonts w:ascii="Times New Roman" w:eastAsia="宋体"/>
          <w:szCs w:val="21"/>
          <w:lang w:val="zh-CN"/>
        </w:rPr>
        <w:t>·2H</w:t>
      </w:r>
      <w:r>
        <w:rPr>
          <w:rFonts w:ascii="Times New Roman" w:eastAsia="宋体"/>
          <w:szCs w:val="21"/>
          <w:vertAlign w:val="subscript"/>
          <w:lang w:val="zh-CN"/>
        </w:rPr>
        <w:t>2</w:t>
      </w:r>
      <w:r>
        <w:rPr>
          <w:rFonts w:ascii="Times New Roman" w:eastAsia="宋体"/>
          <w:szCs w:val="21"/>
          <w:lang w:val="zh-CN"/>
        </w:rPr>
        <w:t>O</w:t>
      </w:r>
      <w:r>
        <w:rPr>
          <w:rFonts w:ascii="Times New Roman" w:hAnsi="宋体" w:eastAsia="宋体"/>
          <w:szCs w:val="21"/>
          <w:lang w:val="zh-CN"/>
        </w:rPr>
        <w:t>）：分析纯；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="宋体"/>
          <w:szCs w:val="21"/>
          <w:lang w:val="zh-CN"/>
        </w:rPr>
      </w:pPr>
      <w:r>
        <w:rPr>
          <w:rFonts w:ascii="Times New Roman" w:eastAsia="宋体"/>
          <w:szCs w:val="21"/>
          <w:lang w:val="zh-CN"/>
        </w:rPr>
        <w:t xml:space="preserve">0.01mol/L </w:t>
      </w:r>
      <w:r>
        <w:rPr>
          <w:rFonts w:ascii="Times New Roman" w:hAnsi="宋体" w:eastAsia="宋体"/>
          <w:szCs w:val="21"/>
          <w:lang w:val="zh-CN"/>
        </w:rPr>
        <w:t>磷酸盐缓冲溶液（</w:t>
      </w:r>
      <w:r>
        <w:rPr>
          <w:rFonts w:ascii="Times New Roman" w:eastAsia="宋体"/>
          <w:szCs w:val="21"/>
          <w:lang w:val="zh-CN"/>
        </w:rPr>
        <w:t>pH6.8</w:t>
      </w:r>
      <w:r>
        <w:rPr>
          <w:rFonts w:ascii="Times New Roman" w:hAnsi="宋体" w:eastAsia="宋体"/>
          <w:szCs w:val="21"/>
          <w:lang w:val="zh-CN"/>
        </w:rPr>
        <w:t>，含</w:t>
      </w:r>
      <w:r>
        <w:rPr>
          <w:rFonts w:ascii="Times New Roman" w:eastAsia="宋体"/>
          <w:szCs w:val="21"/>
          <w:lang w:val="zh-CN"/>
        </w:rPr>
        <w:t>NaCl</w:t>
      </w:r>
      <w:r>
        <w:rPr>
          <w:rFonts w:ascii="Times New Roman" w:hAnsi="宋体" w:eastAsia="宋体"/>
          <w:szCs w:val="21"/>
          <w:lang w:val="zh-CN"/>
        </w:rPr>
        <w:t>）</w:t>
      </w:r>
    </w:p>
    <w:p>
      <w:pPr>
        <w:pStyle w:val="78"/>
        <w:numPr>
          <w:ilvl w:val="1"/>
          <w:numId w:val="0"/>
        </w:numPr>
        <w:spacing w:beforeLines="0" w:afterLines="0" w:line="276" w:lineRule="auto"/>
        <w:ind w:firstLine="420" w:firstLineChars="200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精密称取</w:t>
      </w:r>
      <w:r>
        <w:rPr>
          <w:rFonts w:ascii="Times New Roman" w:eastAsia="宋体"/>
          <w:szCs w:val="21"/>
          <w:lang w:val="zh-CN"/>
        </w:rPr>
        <w:t xml:space="preserve"> 3.58 g</w:t>
      </w:r>
      <w:r>
        <w:rPr>
          <w:rFonts w:ascii="Times New Roman" w:hAnsi="宋体" w:eastAsia="宋体"/>
          <w:szCs w:val="21"/>
          <w:lang w:val="zh-CN"/>
        </w:rPr>
        <w:t>磷酸氢二钠（</w:t>
      </w:r>
      <w:r>
        <w:rPr>
          <w:rFonts w:ascii="Times New Roman" w:eastAsia="宋体"/>
          <w:szCs w:val="21"/>
          <w:lang w:val="zh-CN"/>
        </w:rPr>
        <w:t>Na</w:t>
      </w:r>
      <w:r>
        <w:rPr>
          <w:rFonts w:ascii="Times New Roman" w:eastAsia="宋体"/>
          <w:szCs w:val="21"/>
          <w:vertAlign w:val="subscript"/>
          <w:lang w:val="zh-CN"/>
        </w:rPr>
        <w:t>2</w:t>
      </w:r>
      <w:r>
        <w:rPr>
          <w:rFonts w:ascii="Times New Roman" w:eastAsia="宋体"/>
          <w:szCs w:val="21"/>
          <w:lang w:val="zh-CN"/>
        </w:rPr>
        <w:t xml:space="preserve"> HPO</w:t>
      </w:r>
      <w:r>
        <w:rPr>
          <w:rFonts w:ascii="Times New Roman" w:eastAsia="宋体"/>
          <w:szCs w:val="21"/>
          <w:vertAlign w:val="subscript"/>
          <w:lang w:val="zh-CN"/>
        </w:rPr>
        <w:t>4</w:t>
      </w:r>
      <w:r>
        <w:rPr>
          <w:rFonts w:ascii="Times New Roman" w:eastAsia="宋体"/>
          <w:szCs w:val="21"/>
          <w:lang w:val="zh-CN"/>
        </w:rPr>
        <w:t>·12H</w:t>
      </w:r>
      <w:r>
        <w:rPr>
          <w:rFonts w:ascii="Times New Roman" w:eastAsia="宋体"/>
          <w:szCs w:val="21"/>
          <w:vertAlign w:val="subscript"/>
          <w:lang w:val="zh-CN"/>
        </w:rPr>
        <w:t>2</w:t>
      </w:r>
      <w:r>
        <w:rPr>
          <w:rFonts w:ascii="Times New Roman" w:eastAsia="宋体"/>
          <w:szCs w:val="21"/>
          <w:lang w:val="zh-CN"/>
        </w:rPr>
        <w:t>O</w:t>
      </w:r>
      <w:r>
        <w:rPr>
          <w:rFonts w:ascii="Times New Roman" w:hAnsi="宋体" w:eastAsia="宋体"/>
          <w:szCs w:val="21"/>
          <w:lang w:val="zh-CN"/>
        </w:rPr>
        <w:t>），加水溶解并稀释定容至</w:t>
      </w:r>
      <w:r>
        <w:rPr>
          <w:rFonts w:ascii="Times New Roman" w:eastAsia="宋体"/>
          <w:szCs w:val="21"/>
        </w:rPr>
        <w:t>1.0 L</w:t>
      </w:r>
      <w:r>
        <w:rPr>
          <w:rFonts w:ascii="Times New Roman" w:hAnsi="宋体" w:eastAsia="宋体"/>
          <w:szCs w:val="21"/>
        </w:rPr>
        <w:t>，</w:t>
      </w:r>
      <w:r>
        <w:rPr>
          <w:rFonts w:ascii="Times New Roman" w:hAnsi="宋体" w:eastAsia="宋体"/>
          <w:szCs w:val="21"/>
          <w:lang w:val="zh-CN"/>
        </w:rPr>
        <w:t>配成溶液</w:t>
      </w:r>
      <w:r>
        <w:rPr>
          <w:rFonts w:ascii="Times New Roman" w:eastAsia="宋体"/>
          <w:szCs w:val="21"/>
        </w:rPr>
        <w:t>A</w:t>
      </w:r>
      <w:r>
        <w:rPr>
          <w:rFonts w:ascii="Times New Roman" w:hAnsi="宋体" w:eastAsia="宋体"/>
          <w:szCs w:val="21"/>
        </w:rPr>
        <w:t>，</w:t>
      </w:r>
      <w:r>
        <w:rPr>
          <w:rFonts w:ascii="Times New Roman" w:hAnsi="宋体" w:eastAsia="宋体"/>
          <w:szCs w:val="21"/>
          <w:lang w:val="zh-CN"/>
        </w:rPr>
        <w:t>精密称取</w:t>
      </w:r>
      <w:r>
        <w:rPr>
          <w:rFonts w:ascii="Times New Roman" w:eastAsia="宋体"/>
          <w:szCs w:val="21"/>
        </w:rPr>
        <w:t>0.78 g</w:t>
      </w:r>
      <w:r>
        <w:rPr>
          <w:rFonts w:ascii="Times New Roman" w:hAnsi="宋体" w:eastAsia="宋体"/>
          <w:szCs w:val="21"/>
          <w:lang w:val="zh-CN"/>
        </w:rPr>
        <w:t>磷酸二氢钠</w:t>
      </w:r>
      <w:r>
        <w:rPr>
          <w:rFonts w:ascii="Times New Roman" w:eastAsia="宋体"/>
          <w:szCs w:val="21"/>
        </w:rPr>
        <w:t>(NaH</w:t>
      </w:r>
      <w:r>
        <w:rPr>
          <w:rFonts w:ascii="Times New Roman" w:eastAsia="宋体"/>
          <w:szCs w:val="21"/>
          <w:vertAlign w:val="subscript"/>
        </w:rPr>
        <w:t>2</w:t>
      </w:r>
      <w:r>
        <w:rPr>
          <w:rFonts w:ascii="Times New Roman" w:eastAsia="宋体"/>
          <w:szCs w:val="21"/>
        </w:rPr>
        <w:t>PO</w:t>
      </w:r>
      <w:r>
        <w:rPr>
          <w:rFonts w:ascii="Times New Roman" w:eastAsia="宋体"/>
          <w:szCs w:val="21"/>
          <w:vertAlign w:val="subscript"/>
        </w:rPr>
        <w:t>4</w:t>
      </w:r>
      <w:r>
        <w:rPr>
          <w:rFonts w:ascii="Times New Roman" w:eastAsia="宋体"/>
          <w:szCs w:val="21"/>
        </w:rPr>
        <w:t>·2H</w:t>
      </w:r>
      <w:r>
        <w:rPr>
          <w:rFonts w:ascii="Times New Roman" w:eastAsia="宋体"/>
          <w:szCs w:val="21"/>
          <w:vertAlign w:val="subscript"/>
        </w:rPr>
        <w:t>2</w:t>
      </w:r>
      <w:r>
        <w:rPr>
          <w:rFonts w:ascii="Times New Roman" w:eastAsia="宋体"/>
          <w:szCs w:val="21"/>
        </w:rPr>
        <w:t>O)</w:t>
      </w:r>
      <w:r>
        <w:rPr>
          <w:rFonts w:ascii="Times New Roman" w:hAnsi="宋体" w:eastAsia="宋体"/>
          <w:szCs w:val="21"/>
        </w:rPr>
        <w:t>，</w:t>
      </w:r>
      <w:r>
        <w:rPr>
          <w:rFonts w:ascii="Times New Roman" w:hAnsi="宋体" w:eastAsia="宋体"/>
          <w:szCs w:val="21"/>
          <w:lang w:val="zh-CN"/>
        </w:rPr>
        <w:t>加水溶解并稀释定容至</w:t>
      </w:r>
      <w:r>
        <w:rPr>
          <w:rFonts w:ascii="Times New Roman" w:eastAsia="宋体"/>
          <w:szCs w:val="21"/>
        </w:rPr>
        <w:t>500 mL</w:t>
      </w:r>
      <w:r>
        <w:rPr>
          <w:rFonts w:ascii="Times New Roman" w:hAnsi="宋体" w:eastAsia="宋体"/>
          <w:szCs w:val="21"/>
        </w:rPr>
        <w:t>，</w:t>
      </w:r>
      <w:r>
        <w:rPr>
          <w:rFonts w:ascii="Times New Roman" w:hAnsi="宋体" w:eastAsia="宋体"/>
          <w:szCs w:val="21"/>
          <w:lang w:val="zh-CN"/>
        </w:rPr>
        <w:t>配成溶液</w:t>
      </w:r>
      <w:r>
        <w:rPr>
          <w:rFonts w:ascii="Times New Roman" w:eastAsia="宋体"/>
          <w:szCs w:val="21"/>
        </w:rPr>
        <w:t>B</w:t>
      </w:r>
      <w:r>
        <w:rPr>
          <w:rFonts w:ascii="Times New Roman" w:hAnsi="宋体" w:eastAsia="宋体"/>
          <w:szCs w:val="21"/>
        </w:rPr>
        <w:t>，</w:t>
      </w:r>
      <w:r>
        <w:rPr>
          <w:rFonts w:ascii="Times New Roman" w:hAnsi="宋体" w:eastAsia="宋体"/>
          <w:szCs w:val="21"/>
          <w:lang w:val="zh-CN"/>
        </w:rPr>
        <w:t>将溶液</w:t>
      </w:r>
      <w:r>
        <w:rPr>
          <w:rFonts w:ascii="Times New Roman" w:eastAsia="宋体"/>
          <w:szCs w:val="21"/>
        </w:rPr>
        <w:t>A</w:t>
      </w:r>
      <w:r>
        <w:rPr>
          <w:rFonts w:ascii="Times New Roman" w:hAnsi="宋体" w:eastAsia="宋体"/>
          <w:szCs w:val="21"/>
          <w:lang w:val="zh-CN"/>
        </w:rPr>
        <w:t>和</w:t>
      </w:r>
      <w:r>
        <w:rPr>
          <w:rFonts w:ascii="Times New Roman" w:eastAsia="宋体"/>
          <w:szCs w:val="21"/>
        </w:rPr>
        <w:t>B</w:t>
      </w:r>
      <w:r>
        <w:rPr>
          <w:rFonts w:ascii="Times New Roman" w:hAnsi="宋体" w:eastAsia="宋体"/>
          <w:szCs w:val="21"/>
          <w:lang w:val="zh-CN"/>
        </w:rPr>
        <w:t>混合</w:t>
      </w:r>
      <w:r>
        <w:rPr>
          <w:rFonts w:ascii="Times New Roman" w:hAnsi="宋体" w:eastAsia="宋体"/>
          <w:szCs w:val="21"/>
        </w:rPr>
        <w:t>，</w:t>
      </w:r>
      <w:r>
        <w:rPr>
          <w:rFonts w:ascii="Times New Roman" w:hAnsi="宋体" w:eastAsia="宋体"/>
          <w:szCs w:val="21"/>
          <w:lang w:val="zh-CN"/>
        </w:rPr>
        <w:t>配成</w:t>
      </w:r>
      <w:r>
        <w:rPr>
          <w:rFonts w:ascii="Times New Roman" w:eastAsia="宋体"/>
          <w:szCs w:val="21"/>
        </w:rPr>
        <w:t>pH</w:t>
      </w:r>
      <w:r>
        <w:rPr>
          <w:rFonts w:ascii="Times New Roman" w:hAnsi="宋体" w:eastAsia="宋体"/>
          <w:szCs w:val="21"/>
          <w:lang w:val="zh-CN"/>
        </w:rPr>
        <w:t>值为</w:t>
      </w:r>
      <w:r>
        <w:rPr>
          <w:rFonts w:ascii="Times New Roman" w:eastAsia="宋体"/>
          <w:szCs w:val="21"/>
        </w:rPr>
        <w:t>7.5</w:t>
      </w:r>
      <w:r>
        <w:rPr>
          <w:rFonts w:ascii="Times New Roman" w:hAnsi="宋体" w:eastAsia="宋体"/>
          <w:szCs w:val="21"/>
          <w:lang w:val="zh-CN"/>
        </w:rPr>
        <w:t>的磷酸缓冲溶液</w:t>
      </w:r>
      <w:r>
        <w:rPr>
          <w:rFonts w:ascii="Times New Roman" w:hAnsi="宋体" w:eastAsia="宋体"/>
          <w:szCs w:val="21"/>
        </w:rPr>
        <w:t>（</w:t>
      </w:r>
      <w:r>
        <w:rPr>
          <w:rFonts w:ascii="Times New Roman" w:hAnsi="宋体" w:eastAsia="宋体"/>
          <w:szCs w:val="21"/>
          <w:lang w:val="zh-CN"/>
        </w:rPr>
        <w:t>约取</w:t>
      </w:r>
      <w:r>
        <w:rPr>
          <w:rFonts w:ascii="Times New Roman" w:eastAsia="宋体"/>
          <w:szCs w:val="21"/>
        </w:rPr>
        <w:t>A</w:t>
      </w:r>
      <w:r>
        <w:rPr>
          <w:rFonts w:ascii="Times New Roman" w:hAnsi="宋体" w:eastAsia="宋体"/>
          <w:szCs w:val="21"/>
          <w:lang w:val="zh-CN"/>
        </w:rPr>
        <w:t>液</w:t>
      </w:r>
      <w:r>
        <w:rPr>
          <w:rFonts w:ascii="Times New Roman" w:eastAsia="宋体"/>
          <w:szCs w:val="21"/>
        </w:rPr>
        <w:t>84 mL</w:t>
      </w:r>
      <w:r>
        <w:rPr>
          <w:rFonts w:ascii="Times New Roman" w:hAnsi="宋体" w:eastAsia="宋体"/>
          <w:szCs w:val="21"/>
        </w:rPr>
        <w:t>，</w:t>
      </w:r>
      <w:r>
        <w:rPr>
          <w:rFonts w:ascii="Times New Roman" w:eastAsia="宋体"/>
          <w:szCs w:val="21"/>
        </w:rPr>
        <w:t>16 mL B</w:t>
      </w:r>
      <w:r>
        <w:rPr>
          <w:rFonts w:ascii="Times New Roman" w:hAnsi="宋体" w:eastAsia="宋体"/>
          <w:szCs w:val="21"/>
          <w:lang w:val="zh-CN"/>
        </w:rPr>
        <w:t>液</w:t>
      </w:r>
      <w:r>
        <w:rPr>
          <w:rFonts w:ascii="Times New Roman" w:hAnsi="宋体" w:eastAsia="宋体"/>
          <w:szCs w:val="21"/>
        </w:rPr>
        <w:t>）；</w:t>
      </w:r>
    </w:p>
    <w:p>
      <w:pPr>
        <w:pStyle w:val="78"/>
        <w:numPr>
          <w:ilvl w:val="1"/>
          <w:numId w:val="0"/>
        </w:numPr>
        <w:spacing w:beforeLines="0" w:afterLines="0" w:line="276" w:lineRule="auto"/>
        <w:ind w:firstLine="420" w:firstLineChars="200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取上述</w:t>
      </w:r>
      <w:r>
        <w:rPr>
          <w:rFonts w:ascii="Times New Roman" w:eastAsia="宋体"/>
          <w:szCs w:val="21"/>
          <w:lang w:val="zh-CN"/>
        </w:rPr>
        <w:t>pH</w:t>
      </w:r>
      <w:r>
        <w:rPr>
          <w:rFonts w:ascii="Times New Roman" w:hAnsi="宋体" w:eastAsia="宋体"/>
          <w:szCs w:val="21"/>
          <w:lang w:val="zh-CN"/>
        </w:rPr>
        <w:t>值为</w:t>
      </w:r>
      <w:r>
        <w:rPr>
          <w:rFonts w:ascii="Times New Roman" w:eastAsia="宋体"/>
          <w:szCs w:val="21"/>
          <w:lang w:val="zh-CN"/>
        </w:rPr>
        <w:t>7.5</w:t>
      </w:r>
      <w:r>
        <w:rPr>
          <w:rFonts w:ascii="Times New Roman" w:hAnsi="宋体" w:eastAsia="宋体"/>
          <w:szCs w:val="21"/>
          <w:lang w:val="zh-CN"/>
        </w:rPr>
        <w:t>的磷酸缓冲溶液与</w:t>
      </w:r>
      <w:r>
        <w:rPr>
          <w:rFonts w:ascii="Times New Roman" w:eastAsia="宋体"/>
          <w:szCs w:val="21"/>
          <w:lang w:val="zh-CN"/>
        </w:rPr>
        <w:t>0.9%</w:t>
      </w:r>
      <w:r>
        <w:rPr>
          <w:rFonts w:ascii="Times New Roman" w:hAnsi="宋体" w:eastAsia="宋体"/>
          <w:szCs w:val="21"/>
          <w:lang w:val="zh-CN"/>
        </w:rPr>
        <w:t>的氯化钠溶液混合，混合比例约为</w:t>
      </w:r>
      <w:r>
        <w:rPr>
          <w:rFonts w:ascii="Times New Roman" w:eastAsia="宋体"/>
          <w:szCs w:val="21"/>
          <w:lang w:val="zh-CN"/>
        </w:rPr>
        <w:t>1:17</w:t>
      </w:r>
      <w:r>
        <w:rPr>
          <w:rFonts w:ascii="Times New Roman" w:hAnsi="宋体" w:eastAsia="宋体"/>
          <w:szCs w:val="21"/>
          <w:lang w:val="zh-CN"/>
        </w:rPr>
        <w:t>，配成</w:t>
      </w:r>
      <w:r>
        <w:rPr>
          <w:rFonts w:ascii="Times New Roman" w:eastAsia="宋体"/>
          <w:szCs w:val="21"/>
          <w:lang w:val="zh-CN"/>
        </w:rPr>
        <w:t>pH</w:t>
      </w:r>
      <w:r>
        <w:rPr>
          <w:rFonts w:ascii="Times New Roman" w:hAnsi="宋体" w:eastAsia="宋体"/>
          <w:szCs w:val="21"/>
          <w:lang w:val="zh-CN"/>
        </w:rPr>
        <w:t>值为</w:t>
      </w:r>
      <w:r>
        <w:rPr>
          <w:rFonts w:ascii="Times New Roman" w:eastAsia="宋体"/>
          <w:szCs w:val="21"/>
          <w:lang w:val="zh-CN"/>
        </w:rPr>
        <w:t>6.8</w:t>
      </w:r>
      <w:r>
        <w:rPr>
          <w:rFonts w:ascii="Times New Roman" w:hAnsi="宋体" w:eastAsia="宋体"/>
          <w:szCs w:val="21"/>
          <w:lang w:val="zh-CN"/>
        </w:rPr>
        <w:t>的磷酸盐缓冲溶液。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eastAsia="宋体"/>
          <w:szCs w:val="21"/>
          <w:lang w:val="zh-CN"/>
        </w:rPr>
        <w:t>0.2 mol/L</w:t>
      </w:r>
      <w:r>
        <w:rPr>
          <w:rFonts w:ascii="Times New Roman" w:hAnsi="宋体" w:eastAsia="宋体"/>
          <w:szCs w:val="21"/>
          <w:lang w:val="zh-CN"/>
        </w:rPr>
        <w:t>三氯乙酸（</w:t>
      </w:r>
      <w:r>
        <w:rPr>
          <w:rFonts w:ascii="Times New Roman" w:eastAsia="宋体"/>
          <w:szCs w:val="21"/>
          <w:lang w:val="zh-CN"/>
        </w:rPr>
        <w:t>TCA</w:t>
      </w:r>
      <w:r>
        <w:rPr>
          <w:rFonts w:ascii="Times New Roman" w:hAnsi="宋体" w:eastAsia="宋体"/>
          <w:szCs w:val="21"/>
          <w:lang w:val="zh-CN"/>
        </w:rPr>
        <w:t>）溶液</w:t>
      </w:r>
      <w:r>
        <w:rPr>
          <w:rFonts w:hint="eastAsia" w:ascii="Times New Roman" w:hAnsi="宋体" w:eastAsia="宋体"/>
          <w:szCs w:val="21"/>
          <w:lang w:val="zh-CN"/>
        </w:rPr>
        <w:t>：</w:t>
      </w:r>
      <w:r>
        <w:rPr>
          <w:rFonts w:ascii="Times New Roman" w:hAnsi="宋体" w:eastAsia="宋体"/>
          <w:szCs w:val="21"/>
          <w:lang w:val="zh-CN"/>
        </w:rPr>
        <w:t>精密称取</w:t>
      </w:r>
      <w:r>
        <w:rPr>
          <w:rFonts w:ascii="Times New Roman" w:eastAsia="宋体"/>
          <w:szCs w:val="21"/>
          <w:lang w:val="zh-CN"/>
        </w:rPr>
        <w:t>32.68 g TCA</w:t>
      </w:r>
      <w:r>
        <w:rPr>
          <w:rFonts w:ascii="Times New Roman" w:hAnsi="宋体" w:eastAsia="宋体"/>
          <w:szCs w:val="21"/>
          <w:lang w:val="zh-CN"/>
        </w:rPr>
        <w:t>，用适量去离子水溶解并稀释至1000</w:t>
      </w:r>
      <w:r>
        <w:rPr>
          <w:rFonts w:ascii="Times New Roman" w:eastAsia="宋体"/>
          <w:szCs w:val="21"/>
          <w:lang w:val="zh-CN"/>
        </w:rPr>
        <w:t xml:space="preserve"> mL</w:t>
      </w:r>
      <w:r>
        <w:rPr>
          <w:rFonts w:ascii="Times New Roman" w:hAnsi="宋体" w:eastAsia="宋体"/>
          <w:szCs w:val="21"/>
          <w:lang w:val="zh-CN"/>
        </w:rPr>
        <w:t>即得。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eastAsia="宋体"/>
          <w:szCs w:val="21"/>
          <w:lang w:val="zh-CN"/>
        </w:rPr>
        <w:t>0.96</w:t>
      </w:r>
      <w:r>
        <w:rPr>
          <w:rFonts w:ascii="Times New Roman" w:hAnsi="宋体" w:eastAsia="宋体"/>
          <w:szCs w:val="21"/>
          <w:lang w:val="zh-CN"/>
        </w:rPr>
        <w:t>％纤维蛋白原溶液：移取</w:t>
      </w:r>
      <w:r>
        <w:rPr>
          <w:rFonts w:ascii="Times New Roman" w:eastAsia="宋体"/>
          <w:szCs w:val="21"/>
          <w:lang w:val="zh-CN"/>
        </w:rPr>
        <w:t>10 mL</w:t>
      </w:r>
      <w:r>
        <w:rPr>
          <w:rFonts w:ascii="Times New Roman" w:hAnsi="宋体" w:eastAsia="宋体"/>
          <w:szCs w:val="21"/>
          <w:lang w:val="zh-CN"/>
        </w:rPr>
        <w:t>磷酸盐缓冲液（</w:t>
      </w:r>
      <w:r>
        <w:rPr>
          <w:rFonts w:ascii="Times New Roman" w:eastAsia="宋体"/>
          <w:szCs w:val="21"/>
          <w:lang w:val="zh-CN"/>
        </w:rPr>
        <w:t>0.01 mol/L</w:t>
      </w:r>
      <w:r>
        <w:rPr>
          <w:rFonts w:ascii="Times New Roman" w:hAnsi="宋体" w:eastAsia="宋体"/>
          <w:szCs w:val="21"/>
          <w:lang w:val="zh-CN"/>
        </w:rPr>
        <w:t>）至锥形瓶中，加入</w:t>
      </w:r>
      <w:r>
        <w:rPr>
          <w:rFonts w:ascii="Times New Roman" w:eastAsia="宋体"/>
          <w:szCs w:val="21"/>
          <w:lang w:val="zh-CN"/>
        </w:rPr>
        <w:t>96 mg</w:t>
      </w:r>
      <w:r>
        <w:rPr>
          <w:rFonts w:ascii="Times New Roman" w:hAnsi="宋体" w:eastAsia="宋体"/>
          <w:szCs w:val="21"/>
          <w:lang w:val="zh-CN"/>
        </w:rPr>
        <w:t>纤维蛋白原。超声使其完全溶解，防止起泡。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凝血酶溶液：临用前用</w:t>
      </w:r>
      <w:r>
        <w:rPr>
          <w:rFonts w:ascii="Times New Roman" w:eastAsia="宋体"/>
          <w:szCs w:val="21"/>
          <w:lang w:val="zh-CN"/>
        </w:rPr>
        <w:t>0.01 mol/L</w:t>
      </w:r>
      <w:r>
        <w:rPr>
          <w:rFonts w:ascii="Times New Roman" w:hAnsi="宋体" w:eastAsia="宋体"/>
          <w:szCs w:val="21"/>
          <w:lang w:val="zh-CN"/>
        </w:rPr>
        <w:t>磷酸盐缓冲液稀释</w:t>
      </w:r>
      <w:r>
        <w:rPr>
          <w:rFonts w:ascii="Times New Roman" w:eastAsia="宋体"/>
          <w:szCs w:val="21"/>
          <w:lang w:val="zh-CN"/>
        </w:rPr>
        <w:t>50</w:t>
      </w:r>
      <w:r>
        <w:rPr>
          <w:rFonts w:ascii="Times New Roman" w:hAnsi="宋体" w:eastAsia="宋体"/>
          <w:szCs w:val="21"/>
          <w:lang w:val="zh-CN"/>
        </w:rPr>
        <w:t>倍。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eastAsia="宋体"/>
          <w:szCs w:val="21"/>
          <w:lang w:val="zh-CN"/>
        </w:rPr>
        <w:t>1 mol/L</w:t>
      </w:r>
      <w:r>
        <w:rPr>
          <w:rFonts w:ascii="Times New Roman" w:hAnsi="宋体" w:eastAsia="宋体"/>
          <w:szCs w:val="21"/>
          <w:lang w:val="zh-CN"/>
        </w:rPr>
        <w:t>醋酸溶液：精密称取</w:t>
      </w:r>
      <w:r>
        <w:rPr>
          <w:rFonts w:ascii="Times New Roman" w:eastAsia="宋体"/>
          <w:szCs w:val="21"/>
          <w:lang w:val="zh-CN"/>
        </w:rPr>
        <w:t>60.1 g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CH</w:t>
      </w:r>
      <w:r>
        <w:rPr>
          <w:rFonts w:ascii="Times New Roman" w:eastAsia="宋体"/>
          <w:szCs w:val="21"/>
          <w:vertAlign w:val="subscript"/>
          <w:lang w:val="zh-CN"/>
        </w:rPr>
        <w:t>3</w:t>
      </w:r>
      <w:r>
        <w:rPr>
          <w:rFonts w:ascii="Times New Roman" w:eastAsia="宋体"/>
          <w:szCs w:val="21"/>
          <w:lang w:val="zh-CN"/>
        </w:rPr>
        <w:t>COOH</w:t>
      </w:r>
      <w:r>
        <w:rPr>
          <w:rFonts w:ascii="Times New Roman" w:hAnsi="宋体" w:eastAsia="宋体"/>
          <w:szCs w:val="21"/>
          <w:lang w:val="zh-CN"/>
        </w:rPr>
        <w:t>，用适量去离子水溶解并稀释至</w:t>
      </w:r>
      <w:r>
        <w:rPr>
          <w:rFonts w:ascii="Times New Roman" w:eastAsia="宋体"/>
          <w:szCs w:val="21"/>
          <w:lang w:val="zh-CN"/>
        </w:rPr>
        <w:t>1000 mL</w:t>
      </w:r>
      <w:r>
        <w:rPr>
          <w:rFonts w:ascii="Times New Roman" w:hAnsi="宋体" w:eastAsia="宋体"/>
          <w:szCs w:val="21"/>
          <w:lang w:val="zh-CN"/>
        </w:rPr>
        <w:t>即得。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eastAsia="宋体"/>
          <w:szCs w:val="21"/>
          <w:lang w:val="zh-CN"/>
        </w:rPr>
        <w:t>1 mol/L</w:t>
      </w:r>
      <w:r>
        <w:rPr>
          <w:rFonts w:ascii="Times New Roman" w:hAnsi="宋体" w:eastAsia="宋体"/>
          <w:szCs w:val="21"/>
          <w:lang w:val="zh-CN"/>
        </w:rPr>
        <w:t>醋酸盐缓冲液（</w:t>
      </w:r>
      <w:r>
        <w:rPr>
          <w:rFonts w:ascii="Times New Roman" w:eastAsia="宋体"/>
          <w:szCs w:val="21"/>
          <w:lang w:val="zh-CN"/>
        </w:rPr>
        <w:t>pH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6.0</w:t>
      </w:r>
      <w:r>
        <w:rPr>
          <w:rFonts w:ascii="Times New Roman" w:hAnsi="宋体" w:eastAsia="宋体"/>
          <w:szCs w:val="21"/>
          <w:lang w:val="zh-CN"/>
        </w:rPr>
        <w:t>）：精密称取</w:t>
      </w:r>
      <w:r>
        <w:rPr>
          <w:rFonts w:ascii="Times New Roman" w:eastAsia="宋体"/>
          <w:szCs w:val="21"/>
          <w:lang w:val="zh-CN"/>
        </w:rPr>
        <w:t>129.6 gCH</w:t>
      </w:r>
      <w:r>
        <w:rPr>
          <w:rFonts w:ascii="Times New Roman" w:eastAsia="宋体"/>
          <w:szCs w:val="21"/>
          <w:vertAlign w:val="subscript"/>
          <w:lang w:val="zh-CN"/>
        </w:rPr>
        <w:t>3</w:t>
      </w:r>
      <w:r>
        <w:rPr>
          <w:rFonts w:ascii="Times New Roman" w:eastAsia="宋体"/>
          <w:szCs w:val="21"/>
          <w:lang w:val="zh-CN"/>
        </w:rPr>
        <w:t>COONa·3H</w:t>
      </w:r>
      <w:r>
        <w:rPr>
          <w:rFonts w:ascii="Times New Roman" w:eastAsia="宋体"/>
          <w:szCs w:val="21"/>
          <w:vertAlign w:val="subscript"/>
          <w:lang w:val="zh-CN"/>
        </w:rPr>
        <w:t>2</w:t>
      </w:r>
      <w:r>
        <w:rPr>
          <w:rFonts w:ascii="Times New Roman" w:eastAsia="宋体"/>
          <w:szCs w:val="21"/>
          <w:lang w:val="zh-CN"/>
        </w:rPr>
        <w:t>O</w:t>
      </w:r>
      <w:r>
        <w:rPr>
          <w:rFonts w:ascii="Times New Roman" w:hAnsi="宋体" w:eastAsia="宋体"/>
          <w:szCs w:val="21"/>
          <w:lang w:val="zh-CN"/>
        </w:rPr>
        <w:t>，用约</w:t>
      </w:r>
      <w:r>
        <w:rPr>
          <w:rFonts w:ascii="Times New Roman" w:eastAsia="宋体"/>
          <w:szCs w:val="21"/>
          <w:lang w:val="zh-CN"/>
        </w:rPr>
        <w:t>500mL</w:t>
      </w:r>
      <w:r>
        <w:rPr>
          <w:rFonts w:ascii="Times New Roman" w:hAnsi="宋体" w:eastAsia="宋体"/>
          <w:szCs w:val="21"/>
          <w:lang w:val="zh-CN"/>
        </w:rPr>
        <w:t>去离子水溶解，向其中加入</w:t>
      </w:r>
      <w:r>
        <w:rPr>
          <w:rFonts w:ascii="Times New Roman" w:eastAsia="宋体"/>
          <w:szCs w:val="21"/>
          <w:lang w:val="zh-CN"/>
        </w:rPr>
        <w:t>1 mol/L</w:t>
      </w:r>
      <w:r>
        <w:rPr>
          <w:rFonts w:ascii="Times New Roman" w:hAnsi="宋体" w:eastAsia="宋体"/>
          <w:szCs w:val="21"/>
          <w:lang w:val="zh-CN"/>
        </w:rPr>
        <w:t>醋酸溶液至</w:t>
      </w:r>
      <w:r>
        <w:rPr>
          <w:rFonts w:ascii="Times New Roman" w:eastAsia="宋体"/>
          <w:szCs w:val="21"/>
          <w:lang w:val="zh-CN"/>
        </w:rPr>
        <w:t>pH=6.0</w:t>
      </w:r>
      <w:r>
        <w:rPr>
          <w:rFonts w:ascii="Times New Roman" w:hAnsi="宋体" w:eastAsia="宋体"/>
          <w:szCs w:val="21"/>
          <w:lang w:val="zh-CN"/>
        </w:rPr>
        <w:t>后，用去离子水稀释至</w:t>
      </w:r>
      <w:r>
        <w:rPr>
          <w:rFonts w:ascii="Times New Roman" w:eastAsia="宋体"/>
          <w:szCs w:val="21"/>
          <w:lang w:val="zh-CN"/>
        </w:rPr>
        <w:t>1000 mL</w:t>
      </w:r>
      <w:r>
        <w:rPr>
          <w:rFonts w:ascii="Times New Roman" w:hAnsi="宋体" w:eastAsia="宋体"/>
          <w:szCs w:val="21"/>
          <w:lang w:val="zh-CN"/>
        </w:rPr>
        <w:t>即得。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eastAsia="宋体"/>
          <w:szCs w:val="21"/>
          <w:lang w:val="zh-CN"/>
        </w:rPr>
        <w:t>10％Triton X-100</w:t>
      </w:r>
      <w:r>
        <w:rPr>
          <w:rFonts w:ascii="Times New Roman" w:hAnsi="宋体" w:eastAsia="宋体"/>
          <w:szCs w:val="21"/>
          <w:lang w:val="zh-CN"/>
        </w:rPr>
        <w:t>溶液：称取</w:t>
      </w:r>
      <w:r>
        <w:rPr>
          <w:rFonts w:ascii="Times New Roman" w:eastAsia="宋体"/>
          <w:szCs w:val="21"/>
          <w:lang w:val="zh-CN"/>
        </w:rPr>
        <w:t>10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g Triton X-100</w:t>
      </w:r>
      <w:r>
        <w:rPr>
          <w:rFonts w:ascii="Times New Roman" w:hAnsi="宋体" w:eastAsia="宋体"/>
          <w:szCs w:val="21"/>
          <w:lang w:val="zh-CN"/>
        </w:rPr>
        <w:t>，在加热条件下用适量去离子水溶解，再补加去离子水至</w:t>
      </w:r>
      <w:r>
        <w:rPr>
          <w:rFonts w:ascii="Times New Roman" w:eastAsia="宋体"/>
          <w:szCs w:val="21"/>
          <w:lang w:val="zh-CN"/>
        </w:rPr>
        <w:t>100 mL</w:t>
      </w:r>
      <w:r>
        <w:rPr>
          <w:rFonts w:ascii="Times New Roman" w:hAnsi="宋体" w:eastAsia="宋体"/>
          <w:szCs w:val="21"/>
          <w:lang w:val="zh-CN"/>
        </w:rPr>
        <w:t>即得。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hAnsi="宋体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稀释剂：精密称取0.334</w:t>
      </w:r>
      <w:r>
        <w:rPr>
          <w:rFonts w:hint="eastAsia" w:ascii="Times New Roman" w:hAnsi="宋体" w:eastAsia="宋体"/>
          <w:szCs w:val="21"/>
          <w:lang w:val="zh-CN"/>
        </w:rPr>
        <w:t xml:space="preserve"> </w:t>
      </w:r>
      <w:r>
        <w:rPr>
          <w:rFonts w:ascii="Times New Roman" w:hAnsi="宋体" w:eastAsia="宋体"/>
          <w:szCs w:val="21"/>
          <w:lang w:val="zh-CN"/>
        </w:rPr>
        <w:t>g（终浓度2</w:t>
      </w:r>
      <w:r>
        <w:rPr>
          <w:rFonts w:hint="eastAsia" w:ascii="Times New Roman" w:hAnsi="宋体" w:eastAsia="宋体"/>
          <w:szCs w:val="21"/>
          <w:lang w:val="zh-CN"/>
        </w:rPr>
        <w:t xml:space="preserve"> </w:t>
      </w:r>
      <w:r>
        <w:rPr>
          <w:rFonts w:ascii="Times New Roman" w:hAnsi="宋体" w:eastAsia="宋体"/>
          <w:szCs w:val="21"/>
          <w:lang w:val="zh-CN"/>
        </w:rPr>
        <w:t xml:space="preserve"> mmol/L）CaSO</w:t>
      </w:r>
      <w:r>
        <w:rPr>
          <w:rFonts w:ascii="Times New Roman" w:hAnsi="宋体" w:eastAsia="宋体"/>
          <w:szCs w:val="21"/>
          <w:vertAlign w:val="subscript"/>
          <w:lang w:val="zh-CN"/>
        </w:rPr>
        <w:t>4</w:t>
      </w:r>
      <w:r>
        <w:rPr>
          <w:rFonts w:ascii="Times New Roman" w:hAnsi="宋体" w:eastAsia="宋体"/>
          <w:szCs w:val="21"/>
          <w:lang w:val="zh-CN"/>
        </w:rPr>
        <w:t>·2H</w:t>
      </w:r>
      <w:r>
        <w:rPr>
          <w:rFonts w:ascii="Times New Roman" w:hAnsi="宋体" w:eastAsia="宋体"/>
          <w:szCs w:val="21"/>
          <w:vertAlign w:val="subscript"/>
          <w:lang w:val="zh-CN"/>
        </w:rPr>
        <w:t>2</w:t>
      </w:r>
      <w:r>
        <w:rPr>
          <w:rFonts w:ascii="Times New Roman" w:hAnsi="宋体" w:eastAsia="宋体"/>
          <w:szCs w:val="21"/>
          <w:lang w:val="zh-CN"/>
        </w:rPr>
        <w:t>O和0.585</w:t>
      </w:r>
      <w:r>
        <w:rPr>
          <w:rFonts w:hint="eastAsia" w:ascii="Times New Roman" w:hAnsi="宋体" w:eastAsia="宋体"/>
          <w:szCs w:val="21"/>
          <w:lang w:val="zh-CN"/>
        </w:rPr>
        <w:t xml:space="preserve"> </w:t>
      </w:r>
      <w:r>
        <w:rPr>
          <w:rFonts w:ascii="Times New Roman" w:hAnsi="宋体" w:eastAsia="宋体"/>
          <w:szCs w:val="21"/>
          <w:lang w:val="zh-CN"/>
        </w:rPr>
        <w:t>g（终浓度10 mmol/L）NaCl，用适量去离子水溶解，向其中加入1 mol/L醋酸盐缓冲液2.0 mL（pH</w:t>
      </w:r>
      <w:r>
        <w:rPr>
          <w:rFonts w:hint="eastAsia" w:ascii="Times New Roman" w:hAnsi="宋体" w:eastAsia="宋体"/>
          <w:szCs w:val="21"/>
          <w:lang w:val="zh-CN"/>
        </w:rPr>
        <w:t xml:space="preserve"> </w:t>
      </w:r>
      <w:r>
        <w:rPr>
          <w:rFonts w:ascii="Times New Roman" w:hAnsi="宋体" w:eastAsia="宋体"/>
          <w:szCs w:val="21"/>
          <w:lang w:val="zh-CN"/>
        </w:rPr>
        <w:t>6.0）以及10％Triton X-100溶液0.5</w:t>
      </w:r>
      <w:r>
        <w:rPr>
          <w:rFonts w:hint="eastAsia" w:ascii="Times New Roman" w:hAnsi="宋体" w:eastAsia="宋体"/>
          <w:szCs w:val="21"/>
          <w:lang w:val="zh-CN"/>
        </w:rPr>
        <w:t xml:space="preserve"> </w:t>
      </w:r>
      <w:r>
        <w:rPr>
          <w:rFonts w:ascii="Times New Roman" w:hAnsi="宋体" w:eastAsia="宋体"/>
          <w:szCs w:val="21"/>
          <w:lang w:val="zh-CN"/>
        </w:rPr>
        <w:t>mL（最终浓度为0.005％）后，用去离子水稀释至1000 mL即得。</w:t>
      </w:r>
    </w:p>
    <w:p>
      <w:pPr>
        <w:pStyle w:val="78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仪器和设备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水浴锅：（</w:t>
      </w:r>
      <w:r>
        <w:rPr>
          <w:rFonts w:ascii="Times New Roman" w:eastAsia="宋体"/>
          <w:szCs w:val="21"/>
          <w:lang w:val="zh-CN"/>
        </w:rPr>
        <w:t>37±0.5</w:t>
      </w:r>
      <w:r>
        <w:rPr>
          <w:rFonts w:ascii="Times New Roman" w:hAnsi="宋体" w:eastAsia="宋体"/>
          <w:szCs w:val="21"/>
          <w:lang w:val="zh-CN"/>
        </w:rPr>
        <w:t>）</w:t>
      </w:r>
      <w:r>
        <w:rPr>
          <w:rFonts w:ascii="宋体" w:hAnsi="宋体" w:eastAsia="宋体"/>
          <w:szCs w:val="21"/>
          <w:lang w:val="zh-CN"/>
        </w:rPr>
        <w:t>℃</w:t>
      </w:r>
      <w:r>
        <w:rPr>
          <w:rFonts w:ascii="Times New Roman" w:hAnsi="宋体" w:eastAsia="宋体"/>
          <w:szCs w:val="21"/>
          <w:lang w:val="zh-CN"/>
        </w:rPr>
        <w:t>；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hAnsi="宋体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分析天平，感量为 0.1 mg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hAnsi="宋体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超纯水仪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hAnsi="宋体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pH计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hAnsi="宋体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涡旋混合器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hAnsi="宋体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离心机，转速≥12000转/min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hAnsi="宋体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10</w:t>
      </w:r>
      <w:r>
        <w:rPr>
          <w:rFonts w:hint="eastAsia" w:ascii="Times New Roman" w:hAnsi="宋体" w:eastAsia="宋体"/>
          <w:szCs w:val="21"/>
          <w:lang w:val="zh-CN"/>
        </w:rPr>
        <w:t xml:space="preserve"> </w:t>
      </w:r>
      <w:r>
        <w:rPr>
          <w:rFonts w:ascii="Times New Roman" w:hAnsi="宋体" w:eastAsia="宋体"/>
          <w:szCs w:val="21"/>
          <w:lang w:val="zh-CN"/>
        </w:rPr>
        <w:t>mL离心管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rPr>
          <w:rFonts w:ascii="Times New Roman" w:hAnsi="宋体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紫外</w:t>
      </w:r>
      <w:r>
        <w:rPr>
          <w:rFonts w:hint="eastAsia" w:ascii="Times New Roman" w:hAnsi="宋体" w:eastAsia="宋体"/>
          <w:szCs w:val="21"/>
          <w:lang w:val="zh-CN"/>
        </w:rPr>
        <w:t>可见</w:t>
      </w:r>
      <w:r>
        <w:rPr>
          <w:rFonts w:ascii="Times New Roman" w:hAnsi="宋体" w:eastAsia="宋体"/>
          <w:szCs w:val="21"/>
          <w:lang w:val="zh-CN"/>
        </w:rPr>
        <w:t>分光光度计，</w:t>
      </w:r>
      <w:r>
        <w:rPr>
          <w:rFonts w:hint="eastAsia" w:ascii="Times New Roman" w:hAnsi="宋体" w:eastAsia="宋体"/>
          <w:szCs w:val="21"/>
          <w:lang w:val="zh-CN"/>
        </w:rPr>
        <w:t>配1cm石英比色皿</w:t>
      </w:r>
    </w:p>
    <w:p>
      <w:pPr>
        <w:pStyle w:val="78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测试</w:t>
      </w:r>
    </w:p>
    <w:p>
      <w:pPr>
        <w:pStyle w:val="78"/>
        <w:numPr>
          <w:ilvl w:val="1"/>
          <w:numId w:val="2"/>
        </w:numPr>
        <w:spacing w:before="156" w:after="156"/>
        <w:rPr>
          <w:rFonts w:ascii="宋体" w:hAnsi="宋体" w:eastAsia="宋体"/>
        </w:rPr>
      </w:pPr>
      <w:r>
        <w:rPr>
          <w:rFonts w:ascii="宋体" w:hAnsi="宋体" w:eastAsia="宋体"/>
        </w:rPr>
        <w:t>样品溶液制备</w:t>
      </w:r>
    </w:p>
    <w:p>
      <w:pPr>
        <w:spacing w:line="276" w:lineRule="auto"/>
        <w:ind w:firstLine="420" w:firstLineChars="200"/>
        <w:rPr>
          <w:rFonts w:eastAsia="宋体"/>
          <w:szCs w:val="21"/>
          <w:lang w:val="zh-CN"/>
        </w:rPr>
      </w:pPr>
      <w:r>
        <w:rPr>
          <w:rFonts w:hAnsi="宋体" w:eastAsia="宋体"/>
          <w:szCs w:val="21"/>
          <w:lang w:val="zh-CN"/>
        </w:rPr>
        <w:t>准确称取适量样品（称样量根据不同样品中纳豆激酶的含量而定，大约保证样品溶液中纳豆激酶浓度在</w:t>
      </w:r>
      <w:bookmarkStart w:id="3" w:name="_Hlk517250632"/>
      <w:r>
        <w:rPr>
          <w:rFonts w:eastAsia="宋体"/>
          <w:szCs w:val="21"/>
          <w:lang w:val="zh-CN"/>
        </w:rPr>
        <w:t>0.67~1.33</w:t>
      </w:r>
      <w:r>
        <w:rPr>
          <w:rFonts w:hint="eastAsia" w:eastAsia="宋体"/>
          <w:szCs w:val="21"/>
          <w:lang w:val="zh-CN"/>
        </w:rPr>
        <w:t xml:space="preserve"> </w:t>
      </w:r>
      <w:r>
        <w:rPr>
          <w:rFonts w:eastAsia="宋体"/>
          <w:szCs w:val="21"/>
          <w:lang w:val="zh-CN"/>
        </w:rPr>
        <w:t>FU/mL</w:t>
      </w:r>
      <w:r>
        <w:rPr>
          <w:rFonts w:hAnsi="宋体" w:eastAsia="宋体"/>
          <w:szCs w:val="21"/>
          <w:lang w:val="zh-CN"/>
        </w:rPr>
        <w:t>之间）</w:t>
      </w:r>
      <w:bookmarkEnd w:id="3"/>
      <w:r>
        <w:rPr>
          <w:rFonts w:hAnsi="宋体" w:eastAsia="宋体"/>
          <w:szCs w:val="21"/>
          <w:lang w:val="zh-CN"/>
        </w:rPr>
        <w:t>，用稀释剂溶解，使最终反应液的校正吸光度（</w:t>
      </w:r>
      <w:r>
        <w:rPr>
          <w:rFonts w:eastAsia="宋体"/>
          <w:szCs w:val="21"/>
          <w:lang w:val="zh-CN"/>
        </w:rPr>
        <w:t>ΔA</w:t>
      </w:r>
      <w:r>
        <w:rPr>
          <w:rFonts w:hAnsi="宋体" w:eastAsia="宋体"/>
          <w:szCs w:val="21"/>
          <w:lang w:val="zh-CN"/>
        </w:rPr>
        <w:t>）在</w:t>
      </w:r>
      <w:r>
        <w:rPr>
          <w:rFonts w:eastAsia="宋体"/>
          <w:szCs w:val="21"/>
          <w:lang w:val="zh-CN"/>
        </w:rPr>
        <w:t>0.04~0.08</w:t>
      </w:r>
      <w:r>
        <w:rPr>
          <w:rFonts w:hAnsi="宋体" w:eastAsia="宋体"/>
          <w:szCs w:val="21"/>
          <w:lang w:val="zh-CN"/>
        </w:rPr>
        <w:t>之间。</w:t>
      </w:r>
      <w:r>
        <w:rPr>
          <w:rFonts w:eastAsia="宋体"/>
          <w:szCs w:val="21"/>
          <w:lang w:val="zh-CN"/>
        </w:rPr>
        <w:t xml:space="preserve"> </w:t>
      </w:r>
    </w:p>
    <w:p>
      <w:pPr>
        <w:pStyle w:val="78"/>
        <w:numPr>
          <w:ilvl w:val="1"/>
          <w:numId w:val="2"/>
        </w:numPr>
        <w:spacing w:before="156" w:after="156"/>
        <w:rPr>
          <w:rFonts w:ascii="Times New Roman" w:eastAsia="宋体"/>
        </w:rPr>
      </w:pPr>
      <w:r>
        <w:rPr>
          <w:rFonts w:ascii="Times New Roman" w:hAnsi="宋体" w:eastAsia="宋体"/>
        </w:rPr>
        <w:t>测定</w:t>
      </w:r>
    </w:p>
    <w:p>
      <w:pPr>
        <w:pStyle w:val="78"/>
        <w:numPr>
          <w:ilvl w:val="2"/>
          <w:numId w:val="2"/>
        </w:numPr>
        <w:spacing w:before="156" w:after="156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</w:rPr>
        <w:t>样品管</w:t>
      </w:r>
    </w:p>
    <w:p>
      <w:pPr>
        <w:pStyle w:val="78"/>
        <w:numPr>
          <w:ilvl w:val="3"/>
          <w:numId w:val="2"/>
        </w:numPr>
        <w:spacing w:beforeLines="0" w:afterLines="0" w:line="276" w:lineRule="auto"/>
        <w:ind w:left="0" w:firstLine="0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将</w:t>
      </w:r>
      <w:r>
        <w:rPr>
          <w:rFonts w:ascii="Times New Roman" w:eastAsia="宋体"/>
          <w:szCs w:val="21"/>
          <w:lang w:val="zh-CN"/>
        </w:rPr>
        <w:t>1.4 mL 0.01 mol/L</w:t>
      </w:r>
      <w:r>
        <w:rPr>
          <w:rFonts w:ascii="Times New Roman" w:hAnsi="宋体" w:eastAsia="宋体"/>
          <w:szCs w:val="21"/>
          <w:lang w:val="zh-CN"/>
        </w:rPr>
        <w:t>磷酸盐缓冲液和</w:t>
      </w:r>
      <w:r>
        <w:rPr>
          <w:rFonts w:ascii="Times New Roman" w:eastAsia="宋体"/>
          <w:szCs w:val="21"/>
          <w:lang w:val="zh-CN"/>
        </w:rPr>
        <w:t>0.4 mL 0.96</w:t>
      </w:r>
      <w:r>
        <w:rPr>
          <w:rFonts w:ascii="Times New Roman" w:hAnsi="宋体" w:eastAsia="宋体"/>
          <w:szCs w:val="21"/>
          <w:lang w:val="zh-CN"/>
        </w:rPr>
        <w:t>％纤维蛋白原溶液加至</w:t>
      </w:r>
      <w:r>
        <w:rPr>
          <w:rFonts w:ascii="Times New Roman" w:eastAsia="宋体"/>
          <w:szCs w:val="21"/>
          <w:lang w:val="zh-CN"/>
        </w:rPr>
        <w:t>10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m</w:t>
      </w:r>
      <w:r>
        <w:rPr>
          <w:rFonts w:hint="eastAsia" w:ascii="Times New Roman" w:eastAsia="宋体"/>
          <w:szCs w:val="21"/>
          <w:lang w:val="zh-CN"/>
        </w:rPr>
        <w:t>L</w:t>
      </w:r>
      <w:r>
        <w:rPr>
          <w:rFonts w:ascii="Times New Roman" w:hAnsi="宋体" w:eastAsia="宋体"/>
          <w:szCs w:val="21"/>
          <w:lang w:val="zh-CN"/>
        </w:rPr>
        <w:t>离心管中，</w:t>
      </w:r>
      <w:r>
        <w:rPr>
          <w:rFonts w:ascii="Times New Roman" w:eastAsia="宋体"/>
          <w:szCs w:val="21"/>
          <w:lang w:val="zh-CN"/>
        </w:rPr>
        <w:t>37±0.</w:t>
      </w:r>
      <w:r>
        <w:rPr>
          <w:rFonts w:hint="eastAsia" w:ascii="Times New Roman" w:eastAsia="宋体"/>
          <w:szCs w:val="21"/>
          <w:lang w:val="zh-CN"/>
        </w:rPr>
        <w:t>5</w:t>
      </w:r>
      <w:r>
        <w:rPr>
          <w:rFonts w:ascii="宋体" w:hAnsi="宋体" w:eastAsia="宋体"/>
          <w:szCs w:val="21"/>
          <w:lang w:val="zh-CN"/>
        </w:rPr>
        <w:t>℃</w:t>
      </w:r>
      <w:r>
        <w:rPr>
          <w:rFonts w:ascii="Times New Roman" w:hAnsi="宋体" w:eastAsia="宋体"/>
          <w:szCs w:val="21"/>
          <w:lang w:val="zh-CN"/>
        </w:rPr>
        <w:t>水浴中孵育</w:t>
      </w:r>
      <w:r>
        <w:rPr>
          <w:rFonts w:ascii="Times New Roman" w:eastAsia="宋体"/>
          <w:szCs w:val="21"/>
          <w:lang w:val="zh-CN"/>
        </w:rPr>
        <w:t>5 min</w:t>
      </w:r>
      <w:r>
        <w:rPr>
          <w:rFonts w:ascii="Times New Roman" w:hAnsi="宋体" w:eastAsia="宋体"/>
          <w:szCs w:val="21"/>
          <w:lang w:val="zh-CN"/>
        </w:rPr>
        <w:t>。</w:t>
      </w:r>
    </w:p>
    <w:p>
      <w:pPr>
        <w:pStyle w:val="78"/>
        <w:numPr>
          <w:ilvl w:val="3"/>
          <w:numId w:val="2"/>
        </w:numPr>
        <w:spacing w:beforeLines="0" w:afterLines="0" w:line="276" w:lineRule="auto"/>
        <w:ind w:left="1050" w:hanging="1050" w:hangingChars="500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取出加入</w:t>
      </w:r>
      <w:r>
        <w:rPr>
          <w:rFonts w:ascii="Times New Roman" w:eastAsia="宋体"/>
          <w:szCs w:val="21"/>
          <w:lang w:val="zh-CN"/>
        </w:rPr>
        <w:t>0.1 mL</w:t>
      </w:r>
      <w:r>
        <w:rPr>
          <w:rFonts w:ascii="Times New Roman" w:hAnsi="宋体" w:eastAsia="宋体"/>
          <w:szCs w:val="21"/>
          <w:lang w:val="zh-CN"/>
        </w:rPr>
        <w:t>凝血酶溶液并均匀混合。</w:t>
      </w:r>
      <w:bookmarkStart w:id="4" w:name="_Hlk516143170"/>
      <w:r>
        <w:rPr>
          <w:rFonts w:ascii="Times New Roman" w:hAnsi="宋体" w:eastAsia="宋体"/>
          <w:szCs w:val="21"/>
          <w:lang w:val="zh-CN"/>
        </w:rPr>
        <w:t>至</w:t>
      </w:r>
      <w:r>
        <w:rPr>
          <w:rFonts w:ascii="Times New Roman" w:eastAsia="宋体"/>
          <w:szCs w:val="21"/>
          <w:lang w:val="zh-CN"/>
        </w:rPr>
        <w:t>37±0.</w:t>
      </w:r>
      <w:r>
        <w:rPr>
          <w:rFonts w:hint="eastAsia" w:ascii="Times New Roman" w:eastAsia="宋体"/>
          <w:szCs w:val="21"/>
          <w:lang w:val="zh-CN"/>
        </w:rPr>
        <w:t>5</w:t>
      </w:r>
      <w:r>
        <w:rPr>
          <w:rFonts w:ascii="宋体" w:hAnsi="宋体" w:eastAsia="宋体"/>
          <w:szCs w:val="21"/>
          <w:lang w:val="zh-CN"/>
        </w:rPr>
        <w:t>℃</w:t>
      </w:r>
      <w:r>
        <w:rPr>
          <w:rFonts w:ascii="Times New Roman" w:hAnsi="宋体" w:eastAsia="宋体"/>
          <w:szCs w:val="21"/>
          <w:lang w:val="zh-CN"/>
        </w:rPr>
        <w:t>水浴中孵育</w:t>
      </w:r>
      <w:r>
        <w:rPr>
          <w:rFonts w:ascii="Times New Roman" w:eastAsia="宋体"/>
          <w:szCs w:val="21"/>
          <w:lang w:val="zh-CN"/>
        </w:rPr>
        <w:t>10 min</w:t>
      </w:r>
      <w:r>
        <w:rPr>
          <w:rFonts w:ascii="Times New Roman" w:hAnsi="宋体" w:eastAsia="宋体"/>
          <w:szCs w:val="21"/>
          <w:lang w:val="zh-CN"/>
        </w:rPr>
        <w:t>。</w:t>
      </w:r>
      <w:bookmarkEnd w:id="4"/>
    </w:p>
    <w:p>
      <w:pPr>
        <w:pStyle w:val="78"/>
        <w:numPr>
          <w:ilvl w:val="3"/>
          <w:numId w:val="2"/>
        </w:numPr>
        <w:spacing w:beforeLines="0" w:afterLines="0" w:line="276" w:lineRule="auto"/>
        <w:ind w:left="0" w:firstLine="0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取出加入</w:t>
      </w:r>
      <w:r>
        <w:rPr>
          <w:rFonts w:ascii="Times New Roman" w:eastAsia="宋体"/>
          <w:szCs w:val="21"/>
          <w:lang w:val="zh-CN"/>
        </w:rPr>
        <w:t>0.1 mL</w:t>
      </w:r>
      <w:r>
        <w:rPr>
          <w:rFonts w:ascii="Times New Roman" w:hAnsi="宋体" w:eastAsia="宋体"/>
          <w:szCs w:val="21"/>
          <w:lang w:val="zh-CN"/>
        </w:rPr>
        <w:t>样品溶液，涡旋混合</w:t>
      </w:r>
      <w:r>
        <w:rPr>
          <w:rFonts w:ascii="Times New Roman" w:eastAsia="宋体"/>
          <w:szCs w:val="21"/>
          <w:lang w:val="zh-CN"/>
        </w:rPr>
        <w:t>5 s</w:t>
      </w:r>
      <w:r>
        <w:rPr>
          <w:rFonts w:ascii="Times New Roman" w:hAnsi="宋体" w:eastAsia="宋体"/>
          <w:szCs w:val="21"/>
          <w:lang w:val="zh-CN"/>
        </w:rPr>
        <w:t>，至</w:t>
      </w:r>
      <w:r>
        <w:rPr>
          <w:rFonts w:ascii="Times New Roman" w:eastAsia="宋体"/>
          <w:szCs w:val="21"/>
          <w:lang w:val="zh-CN"/>
        </w:rPr>
        <w:t>37±0.</w:t>
      </w:r>
      <w:r>
        <w:rPr>
          <w:rFonts w:hint="eastAsia" w:ascii="Times New Roman" w:eastAsia="宋体"/>
          <w:szCs w:val="21"/>
          <w:lang w:val="zh-CN"/>
        </w:rPr>
        <w:t>5</w:t>
      </w:r>
      <w:r>
        <w:rPr>
          <w:rFonts w:ascii="宋体" w:hAnsi="宋体" w:eastAsia="宋体"/>
          <w:szCs w:val="21"/>
          <w:lang w:val="zh-CN"/>
        </w:rPr>
        <w:t>℃</w:t>
      </w:r>
      <w:r>
        <w:rPr>
          <w:rFonts w:ascii="Times New Roman" w:hAnsi="宋体" w:eastAsia="宋体"/>
          <w:szCs w:val="21"/>
          <w:lang w:val="zh-CN"/>
        </w:rPr>
        <w:t>水浴中</w:t>
      </w:r>
      <w:bookmarkStart w:id="5" w:name="_Hlk516142841"/>
      <w:r>
        <w:rPr>
          <w:rFonts w:ascii="Times New Roman" w:hAnsi="宋体" w:eastAsia="宋体"/>
          <w:szCs w:val="21"/>
          <w:lang w:val="zh-CN"/>
        </w:rPr>
        <w:t>孵育</w:t>
      </w:r>
      <w:bookmarkEnd w:id="5"/>
      <w:r>
        <w:rPr>
          <w:rFonts w:ascii="Times New Roman" w:eastAsia="宋体"/>
          <w:szCs w:val="21"/>
          <w:lang w:val="zh-CN"/>
        </w:rPr>
        <w:t>60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min</w:t>
      </w:r>
      <w:r>
        <w:rPr>
          <w:rFonts w:ascii="Times New Roman" w:hAnsi="宋体" w:eastAsia="宋体"/>
          <w:szCs w:val="21"/>
          <w:lang w:val="zh-CN"/>
        </w:rPr>
        <w:t>。在分别达到孵育</w:t>
      </w:r>
      <w:r>
        <w:rPr>
          <w:rFonts w:ascii="Times New Roman" w:eastAsia="宋体"/>
          <w:szCs w:val="21"/>
          <w:lang w:val="zh-CN"/>
        </w:rPr>
        <w:t>20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min</w:t>
      </w:r>
      <w:r>
        <w:rPr>
          <w:rFonts w:ascii="Times New Roman" w:hAnsi="宋体" w:eastAsia="宋体"/>
          <w:szCs w:val="21"/>
          <w:lang w:val="zh-CN"/>
        </w:rPr>
        <w:t>和</w:t>
      </w:r>
      <w:r>
        <w:rPr>
          <w:rFonts w:ascii="Times New Roman" w:eastAsia="宋体"/>
          <w:szCs w:val="21"/>
          <w:lang w:val="zh-CN"/>
        </w:rPr>
        <w:t>40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min</w:t>
      </w:r>
      <w:r>
        <w:rPr>
          <w:rFonts w:ascii="Times New Roman" w:hAnsi="宋体" w:eastAsia="宋体"/>
          <w:szCs w:val="21"/>
          <w:lang w:val="zh-CN"/>
        </w:rPr>
        <w:t>时间点时，分别取出在涡旋混合器上再均匀混合</w:t>
      </w:r>
      <w:r>
        <w:rPr>
          <w:rFonts w:ascii="Times New Roman" w:eastAsia="宋体"/>
          <w:szCs w:val="21"/>
          <w:lang w:val="zh-CN"/>
        </w:rPr>
        <w:t>5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s</w:t>
      </w:r>
      <w:r>
        <w:rPr>
          <w:rFonts w:ascii="Times New Roman" w:hAnsi="宋体" w:eastAsia="宋体"/>
          <w:szCs w:val="21"/>
          <w:lang w:val="zh-CN"/>
        </w:rPr>
        <w:t>后，继续孵育。</w:t>
      </w:r>
    </w:p>
    <w:p>
      <w:pPr>
        <w:pStyle w:val="78"/>
        <w:numPr>
          <w:ilvl w:val="3"/>
          <w:numId w:val="2"/>
        </w:numPr>
        <w:spacing w:beforeLines="0" w:afterLines="0" w:line="276" w:lineRule="auto"/>
        <w:ind w:left="0" w:firstLine="0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至反应</w:t>
      </w:r>
      <w:r>
        <w:rPr>
          <w:rFonts w:ascii="Times New Roman" w:eastAsia="宋体"/>
          <w:szCs w:val="21"/>
          <w:lang w:val="zh-CN"/>
        </w:rPr>
        <w:t>60 min</w:t>
      </w:r>
      <w:r>
        <w:rPr>
          <w:rFonts w:ascii="Times New Roman" w:hAnsi="宋体" w:eastAsia="宋体"/>
          <w:szCs w:val="21"/>
          <w:lang w:val="zh-CN"/>
        </w:rPr>
        <w:t>时，加入</w:t>
      </w:r>
      <w:r>
        <w:rPr>
          <w:rFonts w:ascii="Times New Roman" w:eastAsia="宋体"/>
          <w:szCs w:val="21"/>
          <w:lang w:val="zh-CN"/>
        </w:rPr>
        <w:t>2 mL 0.2 mol/L TCA</w:t>
      </w:r>
      <w:r>
        <w:rPr>
          <w:rFonts w:ascii="Times New Roman" w:hAnsi="宋体" w:eastAsia="宋体"/>
          <w:szCs w:val="21"/>
          <w:lang w:val="zh-CN"/>
        </w:rPr>
        <w:t>终止反应液。将加过终止反应液的样品管继续混合均匀</w:t>
      </w:r>
      <w:r>
        <w:rPr>
          <w:rFonts w:ascii="Times New Roman" w:eastAsia="宋体"/>
          <w:szCs w:val="21"/>
          <w:lang w:val="zh-CN"/>
        </w:rPr>
        <w:t>5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s</w:t>
      </w:r>
      <w:r>
        <w:rPr>
          <w:rFonts w:ascii="Times New Roman" w:hAnsi="宋体" w:eastAsia="宋体"/>
          <w:szCs w:val="21"/>
          <w:lang w:val="zh-CN"/>
        </w:rPr>
        <w:t>后，于</w:t>
      </w:r>
      <w:r>
        <w:rPr>
          <w:rFonts w:ascii="Times New Roman" w:eastAsia="宋体"/>
          <w:szCs w:val="21"/>
          <w:lang w:val="zh-CN"/>
        </w:rPr>
        <w:t>37</w:t>
      </w:r>
      <w:r>
        <w:rPr>
          <w:rFonts w:ascii="宋体" w:hAnsi="宋体" w:eastAsia="宋体"/>
          <w:szCs w:val="21"/>
          <w:lang w:val="zh-CN"/>
        </w:rPr>
        <w:t>℃</w:t>
      </w:r>
      <w:r>
        <w:rPr>
          <w:rFonts w:ascii="Times New Roman" w:eastAsia="宋体"/>
          <w:szCs w:val="21"/>
          <w:lang w:val="zh-CN"/>
        </w:rPr>
        <w:t>±0.5</w:t>
      </w:r>
      <w:r>
        <w:rPr>
          <w:rFonts w:ascii="宋体" w:hAnsi="宋体" w:eastAsia="宋体"/>
          <w:szCs w:val="21"/>
          <w:lang w:val="zh-CN"/>
        </w:rPr>
        <w:t>℃</w:t>
      </w:r>
      <w:r>
        <w:rPr>
          <w:rFonts w:ascii="Times New Roman" w:hAnsi="宋体" w:eastAsia="宋体"/>
          <w:szCs w:val="21"/>
          <w:lang w:val="zh-CN"/>
        </w:rPr>
        <w:t>继续孵育</w:t>
      </w:r>
      <w:r>
        <w:rPr>
          <w:rFonts w:ascii="Times New Roman" w:eastAsia="宋体"/>
          <w:szCs w:val="21"/>
          <w:lang w:val="zh-CN"/>
        </w:rPr>
        <w:t>20 min</w:t>
      </w:r>
      <w:r>
        <w:rPr>
          <w:rFonts w:ascii="Times New Roman" w:hAnsi="宋体" w:eastAsia="宋体"/>
          <w:szCs w:val="21"/>
          <w:lang w:val="zh-CN"/>
        </w:rPr>
        <w:t>，使终止反应完全。</w:t>
      </w:r>
    </w:p>
    <w:p>
      <w:pPr>
        <w:pStyle w:val="78"/>
        <w:numPr>
          <w:ilvl w:val="3"/>
          <w:numId w:val="2"/>
        </w:numPr>
        <w:spacing w:beforeLines="0" w:afterLines="0" w:line="276" w:lineRule="auto"/>
        <w:ind w:left="1050" w:hanging="1050" w:hangingChars="500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取出样品液进高速离心机，在</w:t>
      </w:r>
      <w:r>
        <w:rPr>
          <w:rFonts w:ascii="Times New Roman" w:eastAsia="宋体"/>
          <w:szCs w:val="21"/>
          <w:lang w:val="zh-CN"/>
        </w:rPr>
        <w:t>12000 rpm</w:t>
      </w:r>
      <w:r>
        <w:rPr>
          <w:rFonts w:ascii="Times New Roman" w:hAnsi="宋体" w:eastAsia="宋体"/>
          <w:szCs w:val="21"/>
          <w:lang w:val="zh-CN"/>
        </w:rPr>
        <w:t>条件下离心</w:t>
      </w:r>
      <w:r>
        <w:rPr>
          <w:rFonts w:ascii="Times New Roman" w:eastAsia="宋体"/>
          <w:szCs w:val="21"/>
          <w:lang w:val="zh-CN"/>
        </w:rPr>
        <w:t>10 min</w:t>
      </w:r>
      <w:r>
        <w:rPr>
          <w:rFonts w:ascii="Times New Roman" w:hAnsi="宋体" w:eastAsia="宋体"/>
          <w:szCs w:val="21"/>
          <w:lang w:val="zh-CN"/>
        </w:rPr>
        <w:t>。</w:t>
      </w:r>
    </w:p>
    <w:p>
      <w:pPr>
        <w:pStyle w:val="78"/>
        <w:numPr>
          <w:ilvl w:val="3"/>
          <w:numId w:val="2"/>
        </w:numPr>
        <w:spacing w:beforeLines="0" w:afterLines="0" w:line="276" w:lineRule="auto"/>
        <w:ind w:left="1050" w:hanging="1050" w:hangingChars="500"/>
        <w:rPr>
          <w:rFonts w:ascii="Times New Roman" w:eastAsia="宋体"/>
          <w:szCs w:val="21"/>
          <w:lang w:val="zh-CN"/>
        </w:rPr>
      </w:pPr>
      <w:r>
        <w:rPr>
          <w:rFonts w:ascii="Times New Roman" w:hAnsi="宋体" w:eastAsia="宋体"/>
          <w:szCs w:val="21"/>
          <w:lang w:val="zh-CN"/>
        </w:rPr>
        <w:t>用移液管小心移取</w:t>
      </w:r>
      <w:r>
        <w:rPr>
          <w:rFonts w:ascii="Times New Roman" w:eastAsia="宋体"/>
          <w:szCs w:val="21"/>
          <w:lang w:val="zh-CN"/>
        </w:rPr>
        <w:t>2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mL</w:t>
      </w:r>
      <w:r>
        <w:rPr>
          <w:rFonts w:ascii="Times New Roman" w:hAnsi="宋体" w:eastAsia="宋体"/>
          <w:szCs w:val="21"/>
          <w:lang w:val="zh-CN"/>
        </w:rPr>
        <w:t>上清液至比色皿中，并于</w:t>
      </w:r>
      <w:r>
        <w:rPr>
          <w:rFonts w:ascii="Times New Roman" w:eastAsia="宋体"/>
          <w:szCs w:val="21"/>
          <w:lang w:val="zh-CN"/>
        </w:rPr>
        <w:t>275</w:t>
      </w:r>
      <w:r>
        <w:rPr>
          <w:rFonts w:hint="eastAsia" w:ascii="Times New Roman" w:eastAsia="宋体"/>
          <w:szCs w:val="21"/>
          <w:lang w:val="zh-CN"/>
        </w:rPr>
        <w:t xml:space="preserve"> </w:t>
      </w:r>
      <w:r>
        <w:rPr>
          <w:rFonts w:ascii="Times New Roman" w:eastAsia="宋体"/>
          <w:szCs w:val="21"/>
          <w:lang w:val="zh-CN"/>
        </w:rPr>
        <w:t>nm</w:t>
      </w:r>
      <w:r>
        <w:rPr>
          <w:rFonts w:ascii="Times New Roman" w:hAnsi="宋体" w:eastAsia="宋体"/>
          <w:szCs w:val="21"/>
          <w:lang w:val="zh-CN"/>
        </w:rPr>
        <w:t>处测定吸光度（</w:t>
      </w:r>
      <w:r>
        <w:rPr>
          <w:rFonts w:ascii="Times New Roman" w:eastAsia="宋体"/>
          <w:szCs w:val="21"/>
          <w:lang w:val="zh-CN"/>
        </w:rPr>
        <w:t>A</w:t>
      </w:r>
      <w:r>
        <w:rPr>
          <w:rFonts w:ascii="Times New Roman" w:hAnsi="宋体" w:eastAsia="宋体"/>
          <w:szCs w:val="21"/>
          <w:lang w:val="zh-CN"/>
        </w:rPr>
        <w:t>）。</w:t>
      </w:r>
    </w:p>
    <w:p>
      <w:pPr>
        <w:pStyle w:val="78"/>
        <w:numPr>
          <w:ilvl w:val="2"/>
          <w:numId w:val="2"/>
        </w:numPr>
        <w:spacing w:before="156" w:after="156"/>
        <w:rPr>
          <w:rFonts w:ascii="Times New Roman" w:eastAsia="宋体"/>
        </w:rPr>
      </w:pPr>
      <w:r>
        <w:rPr>
          <w:rFonts w:ascii="Times New Roman" w:hAnsi="宋体" w:eastAsia="宋体"/>
        </w:rPr>
        <w:t>样品空白管</w:t>
      </w:r>
    </w:p>
    <w:p>
      <w:pPr>
        <w:pStyle w:val="78"/>
        <w:numPr>
          <w:ilvl w:val="3"/>
          <w:numId w:val="2"/>
        </w:numPr>
        <w:tabs>
          <w:tab w:val="left" w:pos="360"/>
          <w:tab w:val="left" w:pos="9215"/>
        </w:tabs>
        <w:spacing w:beforeLines="0" w:afterLines="0"/>
        <w:ind w:left="1050" w:hanging="1050" w:hangingChars="500"/>
        <w:rPr>
          <w:rFonts w:hAnsi="宋体" w:eastAsia="宋体"/>
          <w:szCs w:val="21"/>
          <w:lang w:val="zh-CN"/>
        </w:rPr>
      </w:pPr>
      <w:r>
        <w:rPr>
          <w:rFonts w:hAnsi="宋体" w:eastAsia="宋体"/>
          <w:szCs w:val="21"/>
          <w:lang w:val="zh-CN"/>
        </w:rPr>
        <w:t>与样品管</w:t>
      </w:r>
      <w:r>
        <w:rPr>
          <w:rFonts w:hAnsi="黑体"/>
          <w:szCs w:val="21"/>
          <w:lang w:val="zh-CN"/>
        </w:rPr>
        <w:t xml:space="preserve"> A.5.2.1.1 </w:t>
      </w:r>
      <w:r>
        <w:rPr>
          <w:rFonts w:hAnsi="宋体" w:eastAsia="宋体"/>
          <w:szCs w:val="21"/>
          <w:lang w:val="zh-CN"/>
        </w:rPr>
        <w:t>和</w:t>
      </w:r>
      <w:r>
        <w:rPr>
          <w:rFonts w:ascii="Times New Roman" w:hAnsi="宋体" w:eastAsia="宋体"/>
          <w:szCs w:val="21"/>
          <w:lang w:val="zh-CN"/>
        </w:rPr>
        <w:t xml:space="preserve"> </w:t>
      </w:r>
      <w:r>
        <w:rPr>
          <w:rFonts w:hAnsi="黑体"/>
          <w:szCs w:val="21"/>
          <w:lang w:val="zh-CN"/>
        </w:rPr>
        <w:t xml:space="preserve">A.5.2.1.2 </w:t>
      </w:r>
      <w:r>
        <w:rPr>
          <w:rFonts w:hAnsi="宋体" w:eastAsia="宋体"/>
          <w:szCs w:val="21"/>
          <w:lang w:val="zh-CN"/>
        </w:rPr>
        <w:t>同样操作。</w:t>
      </w:r>
    </w:p>
    <w:p>
      <w:pPr>
        <w:pStyle w:val="78"/>
        <w:numPr>
          <w:ilvl w:val="3"/>
          <w:numId w:val="2"/>
        </w:numPr>
        <w:tabs>
          <w:tab w:val="left" w:pos="360"/>
          <w:tab w:val="left" w:pos="9215"/>
        </w:tabs>
        <w:spacing w:beforeLines="0" w:afterLines="0"/>
        <w:ind w:left="1050" w:hanging="1050" w:hangingChars="500"/>
        <w:rPr>
          <w:rFonts w:hAnsi="宋体" w:eastAsia="宋体"/>
          <w:szCs w:val="21"/>
          <w:lang w:val="zh-CN"/>
        </w:rPr>
      </w:pPr>
      <w:r>
        <w:rPr>
          <w:rFonts w:hAnsi="宋体" w:eastAsia="宋体"/>
          <w:szCs w:val="21"/>
          <w:lang w:val="zh-CN"/>
        </w:rPr>
        <w:t>取出加入</w:t>
      </w:r>
      <w:r>
        <w:rPr>
          <w:rFonts w:ascii="Times New Roman" w:hAnsi="宋体" w:eastAsia="宋体"/>
          <w:szCs w:val="21"/>
          <w:lang w:val="zh-CN"/>
        </w:rPr>
        <w:t xml:space="preserve">2mL 0.2 mol/L TCA </w:t>
      </w:r>
      <w:r>
        <w:rPr>
          <w:rFonts w:hAnsi="宋体" w:eastAsia="宋体"/>
          <w:szCs w:val="21"/>
          <w:lang w:val="zh-CN"/>
        </w:rPr>
        <w:t>终止反应液，均匀混合</w:t>
      </w:r>
      <w:r>
        <w:rPr>
          <w:rFonts w:ascii="Times New Roman" w:hAnsi="宋体" w:eastAsia="宋体"/>
          <w:szCs w:val="21"/>
          <w:lang w:val="zh-CN"/>
        </w:rPr>
        <w:t>5s</w:t>
      </w:r>
      <w:r>
        <w:rPr>
          <w:rFonts w:hAnsi="宋体" w:eastAsia="宋体"/>
          <w:szCs w:val="21"/>
          <w:lang w:val="zh-CN"/>
        </w:rPr>
        <w:t>。</w:t>
      </w:r>
    </w:p>
    <w:p>
      <w:pPr>
        <w:pStyle w:val="78"/>
        <w:numPr>
          <w:ilvl w:val="3"/>
          <w:numId w:val="2"/>
        </w:numPr>
        <w:tabs>
          <w:tab w:val="left" w:pos="360"/>
          <w:tab w:val="left" w:pos="9215"/>
        </w:tabs>
        <w:spacing w:beforeLines="0" w:afterLines="0"/>
        <w:ind w:left="1050" w:hanging="1050" w:hangingChars="500"/>
        <w:rPr>
          <w:rFonts w:hAnsi="宋体" w:eastAsia="宋体"/>
          <w:szCs w:val="21"/>
          <w:lang w:val="zh-CN"/>
        </w:rPr>
      </w:pPr>
      <w:r>
        <w:rPr>
          <w:rFonts w:hAnsi="宋体" w:eastAsia="宋体"/>
          <w:szCs w:val="21"/>
          <w:lang w:val="zh-CN"/>
        </w:rPr>
        <w:t>加</w:t>
      </w:r>
      <w:r>
        <w:rPr>
          <w:rFonts w:ascii="Times New Roman" w:hAnsi="宋体" w:eastAsia="宋体"/>
          <w:szCs w:val="21"/>
          <w:lang w:val="zh-CN"/>
        </w:rPr>
        <w:t>0.1 mL</w:t>
      </w:r>
      <w:r>
        <w:rPr>
          <w:rFonts w:hAnsi="宋体" w:eastAsia="宋体"/>
          <w:szCs w:val="21"/>
          <w:lang w:val="zh-CN"/>
        </w:rPr>
        <w:t>样品溶液，均匀混合</w:t>
      </w:r>
      <w:r>
        <w:rPr>
          <w:rFonts w:ascii="Times New Roman" w:hAnsi="宋体" w:eastAsia="宋体"/>
          <w:szCs w:val="21"/>
          <w:lang w:val="zh-CN"/>
        </w:rPr>
        <w:t>5 s</w:t>
      </w:r>
      <w:r>
        <w:rPr>
          <w:rFonts w:hAnsi="宋体" w:eastAsia="宋体"/>
          <w:szCs w:val="21"/>
          <w:lang w:val="zh-CN"/>
        </w:rPr>
        <w:t>后，放入</w:t>
      </w:r>
      <w:r>
        <w:rPr>
          <w:rFonts w:ascii="Times New Roman" w:hAnsi="宋体" w:eastAsia="宋体"/>
          <w:szCs w:val="21"/>
          <w:lang w:val="zh-CN"/>
        </w:rPr>
        <w:t>37℃±0.</w:t>
      </w:r>
      <w:r>
        <w:rPr>
          <w:rFonts w:hint="eastAsia" w:ascii="Times New Roman" w:hAnsi="宋体" w:eastAsia="宋体"/>
          <w:szCs w:val="21"/>
          <w:lang w:val="zh-CN"/>
        </w:rPr>
        <w:t>5</w:t>
      </w:r>
      <w:r>
        <w:rPr>
          <w:rFonts w:ascii="Times New Roman" w:hAnsi="宋体" w:eastAsia="宋体"/>
          <w:szCs w:val="21"/>
          <w:lang w:val="zh-CN"/>
        </w:rPr>
        <w:t>℃</w:t>
      </w:r>
      <w:r>
        <w:rPr>
          <w:rFonts w:hAnsi="宋体" w:eastAsia="宋体"/>
          <w:szCs w:val="21"/>
          <w:lang w:val="zh-CN"/>
        </w:rPr>
        <w:t>水浴中孵育</w:t>
      </w:r>
      <w:r>
        <w:rPr>
          <w:rFonts w:ascii="Times New Roman" w:hAnsi="宋体" w:eastAsia="宋体"/>
          <w:szCs w:val="21"/>
          <w:lang w:val="zh-CN"/>
        </w:rPr>
        <w:t>20 min</w:t>
      </w:r>
      <w:r>
        <w:rPr>
          <w:rFonts w:hAnsi="宋体" w:eastAsia="宋体"/>
          <w:szCs w:val="21"/>
          <w:lang w:val="zh-CN"/>
        </w:rPr>
        <w:t>。</w:t>
      </w:r>
    </w:p>
    <w:p>
      <w:pPr>
        <w:pStyle w:val="78"/>
        <w:numPr>
          <w:ilvl w:val="3"/>
          <w:numId w:val="2"/>
        </w:numPr>
        <w:tabs>
          <w:tab w:val="left" w:pos="360"/>
          <w:tab w:val="left" w:pos="9215"/>
        </w:tabs>
        <w:spacing w:beforeLines="0" w:afterLines="0"/>
        <w:ind w:left="1050" w:hanging="1050" w:hangingChars="500"/>
        <w:rPr>
          <w:rFonts w:hAnsi="宋体" w:eastAsia="宋体"/>
          <w:szCs w:val="21"/>
          <w:lang w:val="zh-CN"/>
        </w:rPr>
      </w:pPr>
      <w:r>
        <w:rPr>
          <w:rFonts w:hAnsi="宋体" w:eastAsia="宋体"/>
          <w:szCs w:val="21"/>
          <w:lang w:val="zh-CN"/>
        </w:rPr>
        <w:t>接</w:t>
      </w:r>
      <w:r>
        <w:rPr>
          <w:rFonts w:hAnsi="黑体"/>
          <w:szCs w:val="21"/>
          <w:lang w:val="zh-CN"/>
        </w:rPr>
        <w:t xml:space="preserve"> A.5.2.1.5</w:t>
      </w:r>
      <w:r>
        <w:rPr>
          <w:rFonts w:ascii="Times New Roman" w:hAnsi="宋体" w:eastAsia="宋体"/>
          <w:szCs w:val="21"/>
          <w:lang w:val="zh-CN"/>
        </w:rPr>
        <w:t xml:space="preserve"> </w:t>
      </w:r>
      <w:r>
        <w:rPr>
          <w:rFonts w:hAnsi="宋体" w:eastAsia="宋体"/>
          <w:szCs w:val="21"/>
          <w:lang w:val="zh-CN"/>
        </w:rPr>
        <w:t>和</w:t>
      </w:r>
      <w:r>
        <w:rPr>
          <w:rFonts w:ascii="Times New Roman" w:hAnsi="宋体" w:eastAsia="宋体"/>
          <w:szCs w:val="21"/>
          <w:lang w:val="zh-CN"/>
        </w:rPr>
        <w:t xml:space="preserve"> </w:t>
      </w:r>
      <w:r>
        <w:rPr>
          <w:rFonts w:hAnsi="黑体"/>
          <w:szCs w:val="21"/>
          <w:lang w:val="zh-CN"/>
        </w:rPr>
        <w:t>A.5.2.1.6</w:t>
      </w:r>
      <w:r>
        <w:rPr>
          <w:rFonts w:ascii="Times New Roman" w:hAnsi="宋体" w:eastAsia="宋体"/>
          <w:szCs w:val="21"/>
          <w:lang w:val="zh-CN"/>
        </w:rPr>
        <w:t xml:space="preserve"> </w:t>
      </w:r>
      <w:r>
        <w:rPr>
          <w:rFonts w:hAnsi="宋体" w:eastAsia="宋体"/>
          <w:szCs w:val="21"/>
          <w:lang w:val="zh-CN"/>
        </w:rPr>
        <w:t>操作，得样品空白管吸光度（</w:t>
      </w:r>
      <w:r>
        <w:rPr>
          <w:rFonts w:ascii="Times New Roman" w:hAnsi="宋体" w:eastAsia="宋体"/>
          <w:szCs w:val="21"/>
          <w:lang w:val="zh-CN"/>
        </w:rPr>
        <w:t>A</w:t>
      </w:r>
      <w:r>
        <w:rPr>
          <w:rFonts w:ascii="Times New Roman" w:hAnsi="宋体" w:eastAsia="宋体"/>
          <w:szCs w:val="21"/>
          <w:vertAlign w:val="subscript"/>
          <w:lang w:val="zh-CN"/>
        </w:rPr>
        <w:t>0</w:t>
      </w:r>
      <w:r>
        <w:rPr>
          <w:rFonts w:hAnsi="宋体" w:eastAsia="宋体"/>
          <w:szCs w:val="21"/>
          <w:lang w:val="zh-CN"/>
        </w:rPr>
        <w:t>）。</w:t>
      </w:r>
    </w:p>
    <w:p>
      <w:pPr>
        <w:pStyle w:val="78"/>
        <w:numPr>
          <w:ilvl w:val="0"/>
          <w:numId w:val="2"/>
        </w:numPr>
        <w:spacing w:before="156" w:after="156" w:line="276" w:lineRule="auto"/>
        <w:rPr>
          <w:rFonts w:hAnsi="黑体"/>
        </w:rPr>
      </w:pPr>
      <w:r>
        <w:rPr>
          <w:rFonts w:hAnsi="黑体"/>
        </w:rPr>
        <w:t>结果计算</w:t>
      </w:r>
    </w:p>
    <w:p>
      <w:pPr>
        <w:pStyle w:val="60"/>
        <w:numPr>
          <w:ilvl w:val="2"/>
          <w:numId w:val="0"/>
        </w:numPr>
        <w:spacing w:beforeLines="20" w:afterLines="20" w:line="276" w:lineRule="auto"/>
        <w:ind w:firstLine="991" w:firstLineChars="472"/>
        <w:rPr>
          <w:rFonts w:eastAsia="宋体"/>
        </w:rPr>
      </w:pPr>
      <w:r>
        <w:rPr>
          <w:rFonts w:hAnsi="宋体" w:eastAsia="宋体"/>
        </w:rPr>
        <w:t>样品中纳豆激酶</w:t>
      </w:r>
      <w:r>
        <w:rPr>
          <w:rFonts w:eastAsia="宋体"/>
        </w:rPr>
        <w:t xml:space="preserve"> </w:t>
      </w:r>
      <w:r>
        <w:rPr>
          <w:rFonts w:eastAsia="宋体"/>
          <w:i/>
        </w:rPr>
        <w:t>X</w:t>
      </w:r>
      <w:r>
        <w:rPr>
          <w:rFonts w:hAnsi="宋体" w:eastAsia="宋体"/>
        </w:rPr>
        <w:t>（</w:t>
      </w:r>
      <w:r>
        <w:rPr>
          <w:rFonts w:eastAsia="宋体"/>
        </w:rPr>
        <w:t>FU/g</w:t>
      </w:r>
      <w:r>
        <w:rPr>
          <w:rFonts w:hAnsi="宋体" w:eastAsia="宋体"/>
        </w:rPr>
        <w:t>）按以下公式计算：</w:t>
      </w:r>
    </w:p>
    <w:p>
      <w:pPr>
        <w:pStyle w:val="60"/>
        <w:numPr>
          <w:ilvl w:val="2"/>
          <w:numId w:val="0"/>
        </w:numPr>
        <w:spacing w:beforeLines="20" w:afterLines="20" w:line="276" w:lineRule="auto"/>
        <w:ind w:firstLine="991" w:firstLineChars="472"/>
        <w:rPr>
          <w:rFonts w:eastAsia="宋体"/>
        </w:rPr>
      </w:pPr>
      <w:r>
        <w:rPr>
          <w:rFonts w:eastAsia="宋体"/>
          <w:i/>
        </w:rPr>
        <w:t>X</w:t>
      </w:r>
      <w:r>
        <w:rPr>
          <w:rFonts w:eastAsia="宋体"/>
        </w:rPr>
        <w:t>=</w:t>
      </w:r>
      <w:r>
        <w:rPr>
          <w:rFonts w:hAnsi="宋体" w:eastAsia="宋体"/>
        </w:rPr>
        <w:t>（</w:t>
      </w:r>
      <w:r>
        <w:rPr>
          <w:rFonts w:eastAsia="宋体"/>
        </w:rPr>
        <w:t>A-A</w:t>
      </w:r>
      <w:r>
        <w:rPr>
          <w:rFonts w:eastAsia="宋体"/>
          <w:vertAlign w:val="subscript"/>
        </w:rPr>
        <w:t>0</w:t>
      </w:r>
      <w:r>
        <w:rPr>
          <w:rFonts w:hAnsi="宋体" w:eastAsia="宋体"/>
        </w:rPr>
        <w:t>）</w:t>
      </w:r>
      <w:r>
        <w:rPr>
          <w:rFonts w:eastAsia="宋体"/>
        </w:rPr>
        <w:t>/(0.01×60×0.1)×D</w:t>
      </w:r>
    </w:p>
    <w:p>
      <w:pPr>
        <w:pStyle w:val="60"/>
        <w:numPr>
          <w:ilvl w:val="2"/>
          <w:numId w:val="0"/>
        </w:numPr>
        <w:spacing w:beforeLines="20" w:afterLines="20" w:line="276" w:lineRule="auto"/>
        <w:ind w:left="426"/>
        <w:rPr>
          <w:rFonts w:eastAsia="宋体"/>
        </w:rPr>
      </w:pPr>
      <w:r>
        <w:rPr>
          <w:rFonts w:hAnsi="宋体" w:eastAsia="宋体"/>
        </w:rPr>
        <w:t>式中：</w:t>
      </w:r>
    </w:p>
    <w:p>
      <w:pPr>
        <w:pStyle w:val="60"/>
        <w:numPr>
          <w:ilvl w:val="2"/>
          <w:numId w:val="0"/>
        </w:numPr>
        <w:spacing w:beforeLines="20" w:afterLines="20" w:line="276" w:lineRule="auto"/>
        <w:ind w:firstLine="991" w:firstLineChars="472"/>
        <w:rPr>
          <w:rFonts w:eastAsia="宋体"/>
        </w:rPr>
      </w:pPr>
      <w:r>
        <w:rPr>
          <w:rFonts w:hint="eastAsia" w:eastAsia="宋体"/>
        </w:rPr>
        <w:t>A</w:t>
      </w:r>
      <w:r>
        <w:rPr>
          <w:rFonts w:eastAsia="宋体"/>
        </w:rPr>
        <w:t>——</w:t>
      </w:r>
      <w:r>
        <w:rPr>
          <w:rFonts w:hint="eastAsia" w:eastAsia="宋体"/>
        </w:rPr>
        <w:t>样品液吸光度；</w:t>
      </w:r>
    </w:p>
    <w:p>
      <w:pPr>
        <w:pStyle w:val="60"/>
        <w:numPr>
          <w:ilvl w:val="2"/>
          <w:numId w:val="0"/>
        </w:numPr>
        <w:spacing w:beforeLines="20" w:afterLines="20" w:line="276" w:lineRule="auto"/>
        <w:ind w:firstLine="991" w:firstLineChars="472"/>
        <w:rPr>
          <w:rFonts w:eastAsia="宋体"/>
        </w:rPr>
      </w:pPr>
      <w:r>
        <w:rPr>
          <w:rFonts w:eastAsia="宋体"/>
        </w:rPr>
        <w:t>A</w:t>
      </w:r>
      <w:r>
        <w:rPr>
          <w:rFonts w:eastAsia="宋体"/>
          <w:vertAlign w:val="subscript"/>
        </w:rPr>
        <w:t>0</w:t>
      </w:r>
      <w:r>
        <w:rPr>
          <w:rFonts w:eastAsia="宋体"/>
        </w:rPr>
        <w:t>——</w:t>
      </w:r>
      <w:r>
        <w:rPr>
          <w:rFonts w:hint="eastAsia" w:eastAsia="宋体"/>
        </w:rPr>
        <w:t>空白管吸光度；</w:t>
      </w:r>
    </w:p>
    <w:p>
      <w:pPr>
        <w:pStyle w:val="60"/>
        <w:numPr>
          <w:ilvl w:val="2"/>
          <w:numId w:val="0"/>
        </w:numPr>
        <w:spacing w:beforeLines="20" w:afterLines="20" w:line="276" w:lineRule="auto"/>
        <w:ind w:firstLine="991" w:firstLineChars="472"/>
        <w:rPr>
          <w:rFonts w:eastAsia="宋体"/>
        </w:rPr>
      </w:pPr>
      <w:r>
        <w:rPr>
          <w:rFonts w:eastAsia="宋体"/>
        </w:rPr>
        <w:t>D——样品的稀释率，D=定容体积（mL）/称样量（g）；</w:t>
      </w:r>
    </w:p>
    <w:p>
      <w:pPr>
        <w:pStyle w:val="60"/>
        <w:numPr>
          <w:ilvl w:val="2"/>
          <w:numId w:val="0"/>
        </w:numPr>
        <w:spacing w:beforeLines="20" w:afterLines="20" w:line="276" w:lineRule="auto"/>
        <w:ind w:firstLine="991" w:firstLineChars="472"/>
        <w:rPr>
          <w:rFonts w:eastAsia="宋体"/>
        </w:rPr>
      </w:pPr>
      <w:r>
        <w:rPr>
          <w:rFonts w:eastAsia="宋体"/>
        </w:rPr>
        <w:t>计算结果表示到小数点后两位。</w:t>
      </w:r>
    </w:p>
    <w:p>
      <w:pPr>
        <w:pStyle w:val="78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检测质量控制标准</w:t>
      </w:r>
    </w:p>
    <w:p>
      <w:pPr>
        <w:pStyle w:val="60"/>
        <w:numPr>
          <w:ilvl w:val="2"/>
          <w:numId w:val="0"/>
        </w:numPr>
        <w:spacing w:beforeLines="20" w:afterLines="20"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在重复性条件下获得的独立测定结果的相对标准偏差不得超过20%。</w:t>
      </w:r>
    </w:p>
    <w:p>
      <w:pPr>
        <w:pStyle w:val="78"/>
        <w:numPr>
          <w:ilvl w:val="0"/>
          <w:numId w:val="2"/>
        </w:numPr>
        <w:spacing w:before="156" w:after="156"/>
        <w:rPr>
          <w:rFonts w:hAnsi="黑体"/>
        </w:rPr>
      </w:pPr>
      <w:r>
        <w:rPr>
          <w:rFonts w:hAnsi="黑体"/>
        </w:rPr>
        <w:t>分析步骤的关键控制点及说明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="宋体"/>
          <w:szCs w:val="21"/>
          <w:lang w:val="zh-CN"/>
        </w:rPr>
      </w:pPr>
      <w:r>
        <w:rPr>
          <w:rFonts w:ascii="Times New Roman" w:eastAsia="宋体"/>
          <w:szCs w:val="21"/>
          <w:lang w:val="zh-CN"/>
        </w:rPr>
        <w:t>稀释剂可在室温下保存 15 天。过期重配。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="宋体"/>
          <w:szCs w:val="21"/>
          <w:lang w:val="zh-CN"/>
        </w:rPr>
      </w:pPr>
      <w:r>
        <w:rPr>
          <w:rFonts w:ascii="Times New Roman" w:eastAsia="宋体"/>
          <w:szCs w:val="21"/>
          <w:lang w:val="zh-CN"/>
        </w:rPr>
        <w:t>样品溶液浑浊时需过滤，取滤液测试。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="宋体"/>
          <w:szCs w:val="21"/>
          <w:lang w:val="zh-CN"/>
        </w:rPr>
      </w:pPr>
      <w:r>
        <w:rPr>
          <w:rFonts w:ascii="Times New Roman" w:eastAsia="宋体"/>
          <w:szCs w:val="21"/>
          <w:lang w:val="zh-CN"/>
        </w:rPr>
        <w:t>混合均匀操作需配合使用搅拌器。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="宋体"/>
          <w:szCs w:val="21"/>
          <w:lang w:val="zh-CN"/>
        </w:rPr>
      </w:pPr>
      <w:r>
        <w:rPr>
          <w:rFonts w:ascii="Times New Roman" w:eastAsia="宋体"/>
          <w:szCs w:val="21"/>
          <w:lang w:val="zh-CN"/>
        </w:rPr>
        <w:t>要严格控制酶解反应时间。</w:t>
      </w:r>
    </w:p>
    <w:p>
      <w:pPr>
        <w:pStyle w:val="78"/>
        <w:numPr>
          <w:ilvl w:val="1"/>
          <w:numId w:val="2"/>
        </w:numPr>
        <w:spacing w:beforeLines="20" w:afterLines="20" w:line="276" w:lineRule="auto"/>
        <w:ind w:left="840" w:hanging="840" w:hangingChars="400"/>
        <w:rPr>
          <w:rFonts w:ascii="Times New Roman" w:eastAsia="宋体"/>
          <w:szCs w:val="21"/>
          <w:lang w:val="zh-CN"/>
        </w:rPr>
      </w:pPr>
      <w:r>
        <w:rPr>
          <w:rFonts w:ascii="Times New Roman" w:eastAsia="宋体"/>
          <w:szCs w:val="21"/>
          <w:lang w:val="zh-CN"/>
        </w:rPr>
        <w:t>酶对样品反应的影响较大。当实验更换了一批纤维蛋白原和凝血酶后，对同一批样品而言，结果有所不同。</w:t>
      </w:r>
    </w:p>
    <w:p>
      <w:pPr>
        <w:pStyle w:val="52"/>
        <w:spacing w:before="312" w:after="0"/>
        <w:rPr>
          <w:rFonts w:hAnsi="黑体"/>
          <w:szCs w:val="21"/>
        </w:rPr>
      </w:pPr>
      <w:r>
        <w:rPr>
          <w:rFonts w:ascii="宋体" w:hAnsi="宋体" w:eastAsia="宋体"/>
        </w:rPr>
        <w:br w:type="page"/>
      </w:r>
      <w:r>
        <w:rPr>
          <w:rFonts w:hAnsi="黑体"/>
          <w:szCs w:val="21"/>
        </w:rPr>
        <w:t>附录B</w:t>
      </w:r>
      <w:r>
        <w:rPr>
          <w:rFonts w:hint="eastAsia" w:hAnsi="黑体"/>
          <w:szCs w:val="21"/>
        </w:rPr>
        <w:t xml:space="preserve"> </w:t>
      </w:r>
    </w:p>
    <w:p>
      <w:pPr>
        <w:pStyle w:val="52"/>
        <w:spacing w:before="0" w:after="0" w:line="360" w:lineRule="auto"/>
        <w:rPr>
          <w:rFonts w:ascii="宋体" w:hAnsi="宋体" w:eastAsia="宋体"/>
          <w:szCs w:val="21"/>
        </w:rPr>
      </w:pPr>
      <w:r>
        <w:rPr>
          <w:rFonts w:hint="eastAsia" w:hAnsi="黑体"/>
          <w:szCs w:val="21"/>
        </w:rPr>
        <w:t>纳豆激酶测定方法--</w:t>
      </w:r>
      <w:r>
        <w:rPr>
          <w:rFonts w:hAnsi="黑体"/>
          <w:szCs w:val="21"/>
        </w:rPr>
        <w:t>琼脂糖纤维蛋白平板法</w:t>
      </w:r>
    </w:p>
    <w:p>
      <w:pPr>
        <w:pStyle w:val="78"/>
        <w:numPr>
          <w:ilvl w:val="0"/>
          <w:numId w:val="3"/>
        </w:numPr>
        <w:spacing w:before="156" w:after="156"/>
        <w:ind w:left="567" w:hanging="567"/>
        <w:rPr>
          <w:rFonts w:hAnsi="黑体"/>
        </w:rPr>
      </w:pPr>
      <w:r>
        <w:rPr>
          <w:rFonts w:hAnsi="黑体"/>
        </w:rPr>
        <w:t>范围</w:t>
      </w:r>
    </w:p>
    <w:p>
      <w:pPr>
        <w:spacing w:line="276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本方法</w:t>
      </w:r>
      <w:r>
        <w:rPr>
          <w:rFonts w:hint="eastAsia" w:ascii="宋体" w:hAnsi="宋体" w:eastAsia="宋体"/>
          <w:szCs w:val="21"/>
        </w:rPr>
        <w:t>适用于纳豆粉中纳豆激酶的测定</w:t>
      </w:r>
      <w:r>
        <w:rPr>
          <w:rFonts w:ascii="宋体" w:hAnsi="宋体" w:eastAsia="宋体"/>
          <w:szCs w:val="21"/>
        </w:rPr>
        <w:t>。</w:t>
      </w:r>
    </w:p>
    <w:p>
      <w:pPr>
        <w:pStyle w:val="78"/>
        <w:numPr>
          <w:ilvl w:val="0"/>
          <w:numId w:val="3"/>
        </w:numPr>
        <w:spacing w:before="156" w:after="156" w:line="276" w:lineRule="auto"/>
        <w:ind w:left="567" w:hanging="567"/>
        <w:rPr>
          <w:rFonts w:hAnsi="黑体"/>
        </w:rPr>
      </w:pPr>
      <w:r>
        <w:rPr>
          <w:rFonts w:hAnsi="黑体"/>
        </w:rPr>
        <w:t xml:space="preserve">原理 </w:t>
      </w:r>
    </w:p>
    <w:p>
      <w:pPr>
        <w:spacing w:line="276" w:lineRule="auto"/>
        <w:ind w:firstLine="420" w:firstLineChars="200"/>
        <w:rPr>
          <w:rFonts w:eastAsia="宋体"/>
          <w:szCs w:val="21"/>
        </w:rPr>
      </w:pPr>
      <w:r>
        <w:rPr>
          <w:rFonts w:hAnsi="宋体" w:eastAsia="宋体"/>
          <w:szCs w:val="21"/>
          <w:lang w:val="zh-CN"/>
        </w:rPr>
        <w:t>纳豆激酶同尿激酶一样，是具有纤溶活性的物质。在含有凝血酶和纤维蛋白原琼脂糖平板的固体支架上，样品中的纳豆激酶和尿激酶标准系列同时发生溶纤反应，形成透明溶圈。</w:t>
      </w:r>
      <w:r>
        <w:rPr>
          <w:rFonts w:hAnsi="宋体" w:eastAsia="宋体"/>
          <w:szCs w:val="21"/>
        </w:rPr>
        <w:t>以溶圈面积大小的对数为横坐标，浓度对数为纵坐标作回归曲线，得出相应的回归方程。根据回归方程计算样品中尿激酶活性大小。样品中的纳豆激酶以尿激酶活性大小</w:t>
      </w:r>
      <w:r>
        <w:rPr>
          <w:rFonts w:eastAsia="宋体"/>
          <w:szCs w:val="21"/>
        </w:rPr>
        <w:t>IU</w:t>
      </w:r>
      <w:r>
        <w:rPr>
          <w:rFonts w:hAnsi="宋体" w:eastAsia="宋体"/>
          <w:szCs w:val="21"/>
        </w:rPr>
        <w:t>计。</w:t>
      </w:r>
    </w:p>
    <w:p>
      <w:pPr>
        <w:pStyle w:val="78"/>
        <w:numPr>
          <w:ilvl w:val="0"/>
          <w:numId w:val="3"/>
        </w:numPr>
        <w:spacing w:before="156" w:after="156"/>
        <w:ind w:left="567" w:hanging="567"/>
        <w:rPr>
          <w:rFonts w:hAnsi="黑体"/>
        </w:rPr>
      </w:pPr>
      <w:r>
        <w:rPr>
          <w:rFonts w:hAnsi="黑体"/>
        </w:rPr>
        <w:t>试剂与试液</w:t>
      </w:r>
    </w:p>
    <w:p>
      <w:pPr>
        <w:spacing w:line="276" w:lineRule="auto"/>
        <w:ind w:firstLine="420" w:firstLineChars="200"/>
        <w:rPr>
          <w:rFonts w:hAnsi="宋体" w:eastAsia="宋体"/>
          <w:szCs w:val="21"/>
          <w:lang w:val="zh-CN"/>
        </w:rPr>
      </w:pPr>
      <w:r>
        <w:rPr>
          <w:rFonts w:hAnsi="宋体" w:eastAsia="宋体"/>
          <w:szCs w:val="21"/>
          <w:lang w:val="zh-CN"/>
        </w:rPr>
        <w:t>实验用水为符合GB/T</w:t>
      </w:r>
      <w:r>
        <w:rPr>
          <w:rFonts w:hint="eastAsia" w:hAnsi="宋体" w:eastAsia="宋体"/>
          <w:szCs w:val="21"/>
          <w:lang w:val="zh-CN"/>
        </w:rPr>
        <w:t xml:space="preserve"> </w:t>
      </w:r>
      <w:r>
        <w:rPr>
          <w:rFonts w:hAnsi="宋体" w:eastAsia="宋体"/>
          <w:szCs w:val="21"/>
          <w:lang w:val="zh-CN"/>
        </w:rPr>
        <w:t>6682规定的一级水。</w:t>
      </w:r>
    </w:p>
    <w:p>
      <w:pPr>
        <w:pStyle w:val="78"/>
        <w:numPr>
          <w:ilvl w:val="1"/>
          <w:numId w:val="3"/>
        </w:numPr>
        <w:spacing w:before="156" w:after="156"/>
        <w:ind w:left="737" w:hanging="737"/>
        <w:jc w:val="left"/>
        <w:rPr>
          <w:rFonts w:hAnsi="黑体"/>
        </w:rPr>
      </w:pPr>
      <w:r>
        <w:rPr>
          <w:rFonts w:hAnsi="黑体"/>
        </w:rPr>
        <w:t>试剂</w:t>
      </w:r>
    </w:p>
    <w:p>
      <w:pPr>
        <w:pStyle w:val="78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eastAsia="宋体"/>
          <w:szCs w:val="21"/>
        </w:rPr>
      </w:pPr>
      <w:r>
        <w:rPr>
          <w:rFonts w:ascii="Times New Roman" w:hAnsi="宋体" w:eastAsia="宋体"/>
          <w:szCs w:val="21"/>
        </w:rPr>
        <w:t>磷酸氢二钠（</w:t>
      </w:r>
      <w:r>
        <w:rPr>
          <w:rFonts w:ascii="Times New Roman" w:eastAsia="宋体"/>
          <w:szCs w:val="21"/>
        </w:rPr>
        <w:t>Na</w:t>
      </w:r>
      <w:r>
        <w:rPr>
          <w:rFonts w:ascii="Times New Roman" w:eastAsia="宋体"/>
          <w:szCs w:val="21"/>
          <w:vertAlign w:val="subscript"/>
        </w:rPr>
        <w:t>2</w:t>
      </w:r>
      <w:r>
        <w:rPr>
          <w:rFonts w:ascii="Times New Roman" w:eastAsia="宋体"/>
          <w:szCs w:val="21"/>
        </w:rPr>
        <w:t>HPO</w:t>
      </w:r>
      <w:r>
        <w:rPr>
          <w:rFonts w:ascii="Times New Roman" w:eastAsia="宋体"/>
          <w:szCs w:val="21"/>
          <w:vertAlign w:val="subscript"/>
        </w:rPr>
        <w:t>4</w:t>
      </w:r>
      <w:r>
        <w:rPr>
          <w:rFonts w:ascii="Times New Roman" w:eastAsia="宋体"/>
          <w:szCs w:val="21"/>
          <w:lang w:val="zh-CN"/>
        </w:rPr>
        <w:t>·</w:t>
      </w:r>
      <w:r>
        <w:rPr>
          <w:rFonts w:ascii="Times New Roman" w:eastAsia="宋体"/>
          <w:szCs w:val="21"/>
        </w:rPr>
        <w:t>12H</w:t>
      </w:r>
      <w:r>
        <w:rPr>
          <w:rFonts w:ascii="Times New Roman" w:eastAsia="宋体"/>
          <w:szCs w:val="21"/>
          <w:vertAlign w:val="subscript"/>
        </w:rPr>
        <w:t>2</w:t>
      </w:r>
      <w:r>
        <w:rPr>
          <w:rFonts w:ascii="Times New Roman" w:eastAsia="宋体"/>
          <w:szCs w:val="21"/>
        </w:rPr>
        <w:t>O</w:t>
      </w:r>
      <w:r>
        <w:rPr>
          <w:rFonts w:ascii="Times New Roman" w:hAnsi="宋体" w:eastAsia="宋体"/>
          <w:szCs w:val="21"/>
        </w:rPr>
        <w:t>）</w:t>
      </w:r>
      <w:r>
        <w:rPr>
          <w:rFonts w:ascii="Times New Roman" w:hAnsi="宋体" w:eastAsia="宋体"/>
          <w:szCs w:val="21"/>
          <w:lang w:val="zh-CN"/>
        </w:rPr>
        <w:t>：分析纯；</w:t>
      </w:r>
    </w:p>
    <w:p>
      <w:pPr>
        <w:pStyle w:val="78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磷酸二氢钠（NaH</w:t>
      </w:r>
      <w:r>
        <w:rPr>
          <w:rFonts w:ascii="Times New Roman" w:hAnsi="宋体" w:eastAsia="宋体"/>
          <w:szCs w:val="21"/>
          <w:vertAlign w:val="subscript"/>
        </w:rPr>
        <w:t>2</w:t>
      </w:r>
      <w:r>
        <w:rPr>
          <w:rFonts w:ascii="Times New Roman" w:hAnsi="宋体" w:eastAsia="宋体"/>
          <w:szCs w:val="21"/>
        </w:rPr>
        <w:t>PO</w:t>
      </w:r>
      <w:r>
        <w:rPr>
          <w:rFonts w:ascii="Times New Roman" w:hAnsi="宋体" w:eastAsia="宋体"/>
          <w:szCs w:val="21"/>
          <w:vertAlign w:val="subscript"/>
        </w:rPr>
        <w:t>4</w:t>
      </w:r>
      <w:r>
        <w:rPr>
          <w:rFonts w:ascii="Times New Roman" w:hAnsi="宋体" w:eastAsia="宋体"/>
          <w:szCs w:val="21"/>
        </w:rPr>
        <w:t>·2H</w:t>
      </w:r>
      <w:r>
        <w:rPr>
          <w:rFonts w:ascii="Times New Roman" w:hAnsi="宋体" w:eastAsia="宋体"/>
          <w:szCs w:val="21"/>
          <w:vertAlign w:val="subscript"/>
        </w:rPr>
        <w:t>2</w:t>
      </w:r>
      <w:r>
        <w:rPr>
          <w:rFonts w:ascii="Times New Roman" w:hAnsi="宋体" w:eastAsia="宋体"/>
          <w:szCs w:val="21"/>
        </w:rPr>
        <w:t>O）：分析纯；</w:t>
      </w:r>
    </w:p>
    <w:p>
      <w:pPr>
        <w:pStyle w:val="78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氯化钠（NaCl）：分析纯；</w:t>
      </w:r>
    </w:p>
    <w:p>
      <w:pPr>
        <w:pStyle w:val="78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琼脂糖</w:t>
      </w:r>
    </w:p>
    <w:p>
      <w:pPr>
        <w:pStyle w:val="78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纤维蛋白原（来源牛血）：CAS：9001-32-5；</w:t>
      </w:r>
    </w:p>
    <w:p>
      <w:pPr>
        <w:pStyle w:val="78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凝血酶（来源牛血）：CAS：9002-04-4；</w:t>
      </w:r>
    </w:p>
    <w:p>
      <w:pPr>
        <w:pStyle w:val="78"/>
        <w:numPr>
          <w:ilvl w:val="2"/>
          <w:numId w:val="3"/>
        </w:numPr>
        <w:spacing w:beforeLines="20" w:afterLines="20" w:line="276" w:lineRule="auto"/>
        <w:ind w:left="227" w:hanging="22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尿激酶：中国食品药品检定研究院</w:t>
      </w:r>
    </w:p>
    <w:p>
      <w:pPr>
        <w:pStyle w:val="78"/>
        <w:numPr>
          <w:ilvl w:val="1"/>
          <w:numId w:val="3"/>
        </w:numPr>
        <w:spacing w:before="156" w:after="156"/>
        <w:ind w:left="737" w:hanging="737"/>
        <w:jc w:val="left"/>
        <w:rPr>
          <w:rFonts w:hAnsi="黑体"/>
        </w:rPr>
      </w:pPr>
      <w:r>
        <w:rPr>
          <w:rFonts w:hAnsi="黑体"/>
        </w:rPr>
        <w:t>试液配制</w:t>
      </w:r>
    </w:p>
    <w:p>
      <w:pPr>
        <w:pStyle w:val="78"/>
        <w:numPr>
          <w:ilvl w:val="2"/>
          <w:numId w:val="3"/>
        </w:numPr>
        <w:spacing w:beforeLines="20" w:afterLines="20" w:line="360" w:lineRule="auto"/>
        <w:ind w:left="510" w:hanging="510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PBS缓冲液的制备：</w:t>
      </w:r>
    </w:p>
    <w:p>
      <w:pPr>
        <w:pStyle w:val="78"/>
        <w:numPr>
          <w:ilvl w:val="1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hAnsi="宋体" w:eastAsia="宋体"/>
          <w:szCs w:val="21"/>
        </w:rPr>
      </w:pPr>
      <w:r>
        <w:rPr>
          <w:rFonts w:ascii="Times New Roman" w:eastAsia="宋体"/>
          <w:szCs w:val="21"/>
        </w:rPr>
        <w:t>0.01mol/L</w:t>
      </w:r>
      <w:r>
        <w:rPr>
          <w:rFonts w:ascii="Times New Roman" w:hAnsi="宋体" w:eastAsia="宋体"/>
          <w:szCs w:val="21"/>
        </w:rPr>
        <w:t>磷酸盐缓冲液（</w:t>
      </w:r>
      <w:r>
        <w:rPr>
          <w:rFonts w:ascii="Times New Roman" w:eastAsia="宋体"/>
          <w:szCs w:val="21"/>
        </w:rPr>
        <w:t>pH</w:t>
      </w:r>
      <w:r>
        <w:rPr>
          <w:rFonts w:hint="eastAsia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7.5</w:t>
      </w:r>
      <w:r>
        <w:rPr>
          <w:rFonts w:ascii="Times New Roman" w:hAnsi="宋体" w:eastAsia="宋体"/>
          <w:szCs w:val="21"/>
        </w:rPr>
        <w:t>）：称取磷酸氢二钠（</w:t>
      </w:r>
      <w:r>
        <w:rPr>
          <w:rFonts w:ascii="Times New Roman" w:eastAsia="宋体"/>
          <w:szCs w:val="21"/>
        </w:rPr>
        <w:t>Na</w:t>
      </w:r>
      <w:r>
        <w:rPr>
          <w:rFonts w:ascii="Times New Roman" w:eastAsia="宋体"/>
          <w:szCs w:val="21"/>
          <w:vertAlign w:val="subscript"/>
        </w:rPr>
        <w:t>2</w:t>
      </w:r>
      <w:r>
        <w:rPr>
          <w:rFonts w:ascii="Times New Roman" w:eastAsia="宋体"/>
          <w:szCs w:val="21"/>
        </w:rPr>
        <w:t>HPO</w:t>
      </w:r>
      <w:r>
        <w:rPr>
          <w:rFonts w:ascii="Times New Roman" w:eastAsia="宋体"/>
          <w:szCs w:val="21"/>
          <w:vertAlign w:val="subscript"/>
        </w:rPr>
        <w:t>4</w:t>
      </w:r>
      <w:r>
        <w:rPr>
          <w:rFonts w:ascii="Times New Roman" w:eastAsia="宋体"/>
          <w:szCs w:val="21"/>
        </w:rPr>
        <w:t>·12H</w:t>
      </w:r>
      <w:r>
        <w:rPr>
          <w:rFonts w:ascii="Times New Roman" w:eastAsia="宋体"/>
          <w:szCs w:val="21"/>
          <w:vertAlign w:val="subscript"/>
        </w:rPr>
        <w:t>2</w:t>
      </w:r>
      <w:r>
        <w:rPr>
          <w:rFonts w:ascii="Times New Roman" w:eastAsia="宋体"/>
          <w:szCs w:val="21"/>
        </w:rPr>
        <w:t>O</w:t>
      </w:r>
      <w:r>
        <w:rPr>
          <w:rFonts w:ascii="Times New Roman" w:hAnsi="宋体" w:eastAsia="宋体"/>
          <w:szCs w:val="21"/>
        </w:rPr>
        <w:t>）</w:t>
      </w:r>
      <w:r>
        <w:rPr>
          <w:rFonts w:ascii="Times New Roman" w:eastAsia="宋体"/>
          <w:szCs w:val="21"/>
        </w:rPr>
        <w:t>3.58</w:t>
      </w:r>
      <w:r>
        <w:rPr>
          <w:rFonts w:hint="eastAsia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g</w:t>
      </w:r>
      <w:r>
        <w:rPr>
          <w:rFonts w:ascii="Times New Roman" w:hAnsi="宋体" w:eastAsia="宋体"/>
          <w:szCs w:val="21"/>
        </w:rPr>
        <w:t>，加双蒸水使溶解并稀释至</w:t>
      </w:r>
      <w:r>
        <w:rPr>
          <w:rFonts w:ascii="Times New Roman" w:eastAsia="宋体"/>
          <w:szCs w:val="21"/>
        </w:rPr>
        <w:t>1000</w:t>
      </w:r>
      <w:r>
        <w:rPr>
          <w:rFonts w:hint="eastAsia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mL</w:t>
      </w:r>
      <w:r>
        <w:rPr>
          <w:rFonts w:ascii="Times New Roman" w:hAnsi="宋体" w:eastAsia="宋体"/>
          <w:szCs w:val="21"/>
        </w:rPr>
        <w:t>为</w:t>
      </w:r>
      <w:r>
        <w:rPr>
          <w:rFonts w:ascii="宋体" w:hAnsi="宋体" w:eastAsia="宋体"/>
          <w:szCs w:val="21"/>
        </w:rPr>
        <w:t>Ⅰ</w:t>
      </w:r>
      <w:r>
        <w:rPr>
          <w:rFonts w:ascii="Times New Roman" w:hAnsi="宋体" w:eastAsia="宋体"/>
          <w:szCs w:val="21"/>
        </w:rPr>
        <w:t>液；取磷酸二氢钠</w:t>
      </w:r>
      <w:r>
        <w:rPr>
          <w:rFonts w:ascii="Times New Roman" w:eastAsia="宋体"/>
          <w:szCs w:val="21"/>
        </w:rPr>
        <w:t>(NaH</w:t>
      </w:r>
      <w:r>
        <w:rPr>
          <w:rFonts w:ascii="Times New Roman" w:eastAsia="宋体"/>
          <w:szCs w:val="21"/>
          <w:vertAlign w:val="subscript"/>
        </w:rPr>
        <w:t>2</w:t>
      </w:r>
      <w:r>
        <w:rPr>
          <w:rFonts w:ascii="Times New Roman" w:eastAsia="宋体"/>
          <w:szCs w:val="21"/>
        </w:rPr>
        <w:t>PO</w:t>
      </w:r>
      <w:r>
        <w:rPr>
          <w:rFonts w:ascii="Times New Roman" w:eastAsia="宋体"/>
          <w:szCs w:val="21"/>
          <w:vertAlign w:val="subscript"/>
        </w:rPr>
        <w:t>4</w:t>
      </w:r>
      <w:r>
        <w:rPr>
          <w:rFonts w:ascii="Times New Roman" w:eastAsia="宋体"/>
          <w:szCs w:val="21"/>
        </w:rPr>
        <w:t>·2H</w:t>
      </w:r>
      <w:r>
        <w:rPr>
          <w:rFonts w:ascii="Times New Roman" w:eastAsia="宋体"/>
          <w:szCs w:val="21"/>
          <w:vertAlign w:val="subscript"/>
        </w:rPr>
        <w:t>2</w:t>
      </w:r>
      <w:r>
        <w:rPr>
          <w:rFonts w:ascii="Times New Roman" w:eastAsia="宋体"/>
          <w:szCs w:val="21"/>
        </w:rPr>
        <w:t>O)</w:t>
      </w:r>
      <w:r>
        <w:rPr>
          <w:rFonts w:hint="eastAsia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0.78</w:t>
      </w:r>
      <w:r>
        <w:rPr>
          <w:rFonts w:hint="eastAsia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g</w:t>
      </w:r>
      <w:r>
        <w:rPr>
          <w:rFonts w:ascii="Times New Roman" w:hAnsi="宋体" w:eastAsia="宋体"/>
          <w:szCs w:val="21"/>
        </w:rPr>
        <w:t>加双蒸水使溶解并稀释至</w:t>
      </w:r>
      <w:r>
        <w:rPr>
          <w:rFonts w:ascii="Times New Roman" w:eastAsia="宋体"/>
          <w:szCs w:val="21"/>
        </w:rPr>
        <w:t>500</w:t>
      </w:r>
      <w:r>
        <w:rPr>
          <w:rFonts w:hint="eastAsia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mL</w:t>
      </w:r>
      <w:r>
        <w:rPr>
          <w:rFonts w:ascii="Times New Roman" w:hAnsi="宋体" w:eastAsia="宋体"/>
          <w:szCs w:val="21"/>
        </w:rPr>
        <w:t>为</w:t>
      </w:r>
      <w:r>
        <w:rPr>
          <w:rFonts w:ascii="宋体" w:hAnsi="宋体" w:eastAsia="宋体"/>
          <w:szCs w:val="21"/>
        </w:rPr>
        <w:t>Ⅱ</w:t>
      </w:r>
      <w:r>
        <w:rPr>
          <w:rFonts w:ascii="Times New Roman" w:hAnsi="宋体" w:eastAsia="宋体"/>
          <w:szCs w:val="21"/>
        </w:rPr>
        <w:t>液；将两液混合，调节至</w:t>
      </w:r>
      <w:r>
        <w:rPr>
          <w:rFonts w:ascii="Times New Roman" w:eastAsia="宋体"/>
          <w:szCs w:val="21"/>
        </w:rPr>
        <w:t>pH</w:t>
      </w:r>
      <w:r>
        <w:rPr>
          <w:rFonts w:ascii="Times New Roman" w:hAnsi="宋体" w:eastAsia="宋体"/>
          <w:szCs w:val="21"/>
        </w:rPr>
        <w:t>值为</w:t>
      </w:r>
      <w:r>
        <w:rPr>
          <w:rFonts w:ascii="Times New Roman" w:eastAsia="宋体"/>
          <w:szCs w:val="21"/>
        </w:rPr>
        <w:t>7.5</w:t>
      </w:r>
      <w:r>
        <w:rPr>
          <w:rFonts w:ascii="Times New Roman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Ⅰ</w:t>
      </w:r>
      <w:r>
        <w:rPr>
          <w:rFonts w:ascii="Times New Roman" w:hAnsi="宋体" w:eastAsia="宋体"/>
          <w:szCs w:val="21"/>
        </w:rPr>
        <w:t>液取约</w:t>
      </w:r>
      <w:r>
        <w:rPr>
          <w:rFonts w:ascii="Times New Roman" w:eastAsia="宋体"/>
          <w:szCs w:val="21"/>
        </w:rPr>
        <w:t>84</w:t>
      </w:r>
      <w:r>
        <w:rPr>
          <w:rFonts w:hint="eastAsia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mL</w:t>
      </w:r>
      <w:r>
        <w:rPr>
          <w:rFonts w:ascii="Times New Roman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Ⅱ</w:t>
      </w:r>
      <w:r>
        <w:rPr>
          <w:rFonts w:ascii="Times New Roman" w:hAnsi="宋体" w:eastAsia="宋体"/>
          <w:szCs w:val="21"/>
        </w:rPr>
        <w:t>液取约</w:t>
      </w:r>
      <w:r>
        <w:rPr>
          <w:rFonts w:ascii="Times New Roman" w:eastAsia="宋体"/>
          <w:szCs w:val="21"/>
        </w:rPr>
        <w:t>16</w:t>
      </w:r>
      <w:r>
        <w:rPr>
          <w:rFonts w:hint="eastAsia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mL</w:t>
      </w:r>
      <w:r>
        <w:rPr>
          <w:rFonts w:ascii="Times New Roman" w:hAnsi="宋体" w:eastAsia="宋体"/>
          <w:szCs w:val="21"/>
        </w:rPr>
        <w:t>）</w:t>
      </w:r>
      <w:r>
        <w:rPr>
          <w:rFonts w:hint="eastAsia" w:ascii="Times New Roman" w:hAnsi="宋体" w:eastAsia="宋体"/>
          <w:szCs w:val="21"/>
        </w:rPr>
        <w:t>；</w:t>
      </w:r>
    </w:p>
    <w:p>
      <w:pPr>
        <w:pStyle w:val="78"/>
        <w:numPr>
          <w:ilvl w:val="1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hAnsi="宋体" w:eastAsia="宋体"/>
          <w:szCs w:val="21"/>
        </w:rPr>
      </w:pPr>
      <w:r>
        <w:rPr>
          <w:rFonts w:ascii="Times New Roman" w:eastAsia="宋体"/>
          <w:szCs w:val="21"/>
        </w:rPr>
        <w:t>0.9%氯化钠溶液：称取氯化钠9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g，定容至1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L，得到0.9%氯化钠溶液。</w:t>
      </w:r>
    </w:p>
    <w:p>
      <w:pPr>
        <w:pStyle w:val="78"/>
        <w:numPr>
          <w:ilvl w:val="1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eastAsia="宋体"/>
          <w:szCs w:val="21"/>
        </w:rPr>
      </w:pPr>
      <w:r>
        <w:rPr>
          <w:rFonts w:ascii="Times New Roman" w:eastAsia="宋体"/>
          <w:szCs w:val="21"/>
        </w:rPr>
        <w:t>将0.01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mol/L磷酸盐缓冲液（pH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7.5）与0.9%氯化钠溶液（1:17）混合，得到PBS缓冲液。</w:t>
      </w:r>
    </w:p>
    <w:p>
      <w:pPr>
        <w:pStyle w:val="78"/>
        <w:numPr>
          <w:ilvl w:val="2"/>
          <w:numId w:val="3"/>
        </w:numPr>
        <w:spacing w:beforeLines="20" w:afterLines="20" w:line="276" w:lineRule="auto"/>
        <w:ind w:left="0" w:firstLine="0"/>
        <w:jc w:val="left"/>
        <w:rPr>
          <w:rFonts w:ascii="Times New Roman" w:eastAsia="宋体"/>
          <w:szCs w:val="21"/>
        </w:rPr>
      </w:pPr>
      <w:r>
        <w:rPr>
          <w:rFonts w:ascii="Times New Roman" w:hAnsi="宋体" w:eastAsia="宋体"/>
          <w:szCs w:val="21"/>
        </w:rPr>
        <w:t>1.5%琼脂糖溶液：取琼脂糖1.5</w:t>
      </w:r>
      <w:r>
        <w:rPr>
          <w:rFonts w:hint="eastAsia" w:ascii="Times New Roman" w:hAnsi="宋体" w:eastAsia="宋体"/>
          <w:szCs w:val="21"/>
        </w:rPr>
        <w:t xml:space="preserve"> </w:t>
      </w:r>
      <w:r>
        <w:rPr>
          <w:rFonts w:ascii="Times New Roman" w:hAnsi="宋体" w:eastAsia="宋体"/>
          <w:szCs w:val="21"/>
        </w:rPr>
        <w:t>g，加PBS缓冲液100</w:t>
      </w:r>
      <w:r>
        <w:rPr>
          <w:rFonts w:hint="eastAsia" w:ascii="Times New Roman" w:hAnsi="宋体" w:eastAsia="宋体"/>
          <w:szCs w:val="21"/>
        </w:rPr>
        <w:t xml:space="preserve"> </w:t>
      </w:r>
      <w:r>
        <w:rPr>
          <w:rFonts w:ascii="Times New Roman" w:hAnsi="宋体" w:eastAsia="宋体"/>
          <w:szCs w:val="21"/>
        </w:rPr>
        <w:t>mL，加热溶解，50℃水浴保温。现配现用。</w:t>
      </w:r>
    </w:p>
    <w:p>
      <w:pPr>
        <w:pStyle w:val="78"/>
        <w:numPr>
          <w:ilvl w:val="2"/>
          <w:numId w:val="3"/>
        </w:numPr>
        <w:spacing w:beforeLines="20" w:afterLines="20" w:line="276" w:lineRule="auto"/>
        <w:ind w:left="0" w:firstLine="0"/>
        <w:jc w:val="left"/>
        <w:rPr>
          <w:rFonts w:ascii="Times New Roman" w:eastAsia="宋体"/>
          <w:szCs w:val="21"/>
        </w:rPr>
      </w:pPr>
      <w:r>
        <w:rPr>
          <w:rFonts w:ascii="Times New Roman" w:hAnsi="宋体" w:eastAsia="宋体"/>
          <w:szCs w:val="21"/>
        </w:rPr>
        <w:t>纤维蛋白原溶液</w:t>
      </w:r>
    </w:p>
    <w:p>
      <w:pPr>
        <w:pStyle w:val="78"/>
        <w:numPr>
          <w:ilvl w:val="1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eastAsia="宋体"/>
          <w:szCs w:val="21"/>
        </w:rPr>
      </w:pPr>
      <w:r>
        <w:rPr>
          <w:rFonts w:ascii="Times New Roman" w:hAnsi="宋体" w:eastAsia="宋体"/>
          <w:szCs w:val="21"/>
        </w:rPr>
        <w:t>取纤维蛋白原适量，加</w:t>
      </w:r>
      <w:r>
        <w:rPr>
          <w:rFonts w:ascii="Times New Roman" w:eastAsia="宋体"/>
          <w:szCs w:val="21"/>
        </w:rPr>
        <w:t>PBS</w:t>
      </w:r>
      <w:r>
        <w:rPr>
          <w:rFonts w:ascii="Times New Roman" w:hAnsi="宋体" w:eastAsia="宋体"/>
          <w:szCs w:val="21"/>
        </w:rPr>
        <w:t>缓冲液制成每</w:t>
      </w:r>
      <w:r>
        <w:rPr>
          <w:rFonts w:ascii="Times New Roman" w:eastAsia="宋体"/>
          <w:szCs w:val="21"/>
        </w:rPr>
        <w:t>1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mL</w:t>
      </w:r>
      <w:r>
        <w:rPr>
          <w:rFonts w:ascii="Times New Roman" w:hAnsi="宋体" w:eastAsia="宋体"/>
          <w:szCs w:val="21"/>
        </w:rPr>
        <w:t>中含</w:t>
      </w:r>
      <w:r>
        <w:rPr>
          <w:rFonts w:ascii="Times New Roman" w:eastAsia="宋体"/>
          <w:szCs w:val="21"/>
        </w:rPr>
        <w:t>1.5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mg</w:t>
      </w:r>
      <w:r>
        <w:rPr>
          <w:rFonts w:ascii="Times New Roman" w:hAnsi="宋体" w:eastAsia="宋体"/>
          <w:szCs w:val="21"/>
        </w:rPr>
        <w:t>蛋白的纤维蛋白原溶液。注意：缓慢加入</w:t>
      </w:r>
      <w:r>
        <w:rPr>
          <w:rFonts w:ascii="Times New Roman" w:eastAsia="宋体"/>
          <w:szCs w:val="21"/>
        </w:rPr>
        <w:t>PBS</w:t>
      </w:r>
      <w:r>
        <w:rPr>
          <w:rFonts w:ascii="Times New Roman" w:hAnsi="宋体" w:eastAsia="宋体"/>
          <w:szCs w:val="21"/>
        </w:rPr>
        <w:t>缓冲液，防止产生气泡，加冰超声溶解。</w:t>
      </w:r>
    </w:p>
    <w:p>
      <w:pPr>
        <w:pStyle w:val="78"/>
        <w:numPr>
          <w:ilvl w:val="2"/>
          <w:numId w:val="3"/>
        </w:numPr>
        <w:spacing w:beforeLines="20" w:afterLines="20" w:line="276" w:lineRule="auto"/>
        <w:ind w:left="0" w:firstLine="0"/>
        <w:jc w:val="left"/>
        <w:rPr>
          <w:rFonts w:ascii="Times New Roman" w:eastAsia="宋体"/>
          <w:szCs w:val="21"/>
        </w:rPr>
      </w:pPr>
      <w:r>
        <w:rPr>
          <w:rFonts w:ascii="Times New Roman" w:hAnsi="宋体" w:eastAsia="宋体"/>
          <w:szCs w:val="21"/>
        </w:rPr>
        <w:t>凝血酶溶液</w:t>
      </w:r>
    </w:p>
    <w:p>
      <w:pPr>
        <w:pStyle w:val="78"/>
        <w:numPr>
          <w:ilvl w:val="1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eastAsia="宋体"/>
          <w:szCs w:val="21"/>
        </w:rPr>
      </w:pPr>
      <w:r>
        <w:rPr>
          <w:rFonts w:ascii="Times New Roman" w:hAnsi="宋体" w:eastAsia="宋体"/>
          <w:szCs w:val="21"/>
        </w:rPr>
        <w:t>取凝血酶适量，加入</w:t>
      </w:r>
      <w:r>
        <w:rPr>
          <w:rFonts w:ascii="Times New Roman" w:eastAsia="宋体"/>
          <w:szCs w:val="21"/>
        </w:rPr>
        <w:t>0.9%</w:t>
      </w:r>
      <w:r>
        <w:rPr>
          <w:rFonts w:ascii="Times New Roman" w:hAnsi="宋体" w:eastAsia="宋体"/>
          <w:szCs w:val="21"/>
        </w:rPr>
        <w:t>氯化钠溶液制成每</w:t>
      </w:r>
      <w:r>
        <w:rPr>
          <w:rFonts w:ascii="Times New Roman" w:eastAsia="宋体"/>
          <w:szCs w:val="21"/>
        </w:rPr>
        <w:t>1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mL</w:t>
      </w:r>
      <w:r>
        <w:rPr>
          <w:rFonts w:ascii="Times New Roman" w:hAnsi="宋体" w:eastAsia="宋体"/>
          <w:szCs w:val="21"/>
        </w:rPr>
        <w:t>中含</w:t>
      </w:r>
      <w:r>
        <w:rPr>
          <w:rFonts w:ascii="Times New Roman" w:eastAsia="宋体"/>
          <w:szCs w:val="21"/>
        </w:rPr>
        <w:t>1-2U</w:t>
      </w:r>
      <w:r>
        <w:rPr>
          <w:rFonts w:ascii="Times New Roman" w:hAnsi="宋体" w:eastAsia="宋体"/>
          <w:szCs w:val="21"/>
        </w:rPr>
        <w:t>或</w:t>
      </w:r>
      <w:r>
        <w:rPr>
          <w:rFonts w:ascii="Times New Roman" w:eastAsia="宋体"/>
          <w:szCs w:val="21"/>
        </w:rPr>
        <w:t>1-2BP</w:t>
      </w:r>
      <w:r>
        <w:rPr>
          <w:rFonts w:ascii="Times New Roman" w:hAnsi="宋体" w:eastAsia="宋体"/>
          <w:szCs w:val="21"/>
        </w:rPr>
        <w:t>单位的溶液（根据不同试剂标签标识单位而定）。</w:t>
      </w:r>
    </w:p>
    <w:p>
      <w:pPr>
        <w:pStyle w:val="78"/>
        <w:numPr>
          <w:ilvl w:val="2"/>
          <w:numId w:val="3"/>
        </w:numPr>
        <w:spacing w:beforeLines="20" w:afterLines="20" w:line="276" w:lineRule="auto"/>
        <w:ind w:left="851" w:hanging="851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尿激酶标准系列溶液的制备：</w:t>
      </w:r>
    </w:p>
    <w:p>
      <w:pPr>
        <w:pStyle w:val="78"/>
        <w:numPr>
          <w:ilvl w:val="1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hAnsi="宋体" w:eastAsia="宋体"/>
          <w:color w:val="000000"/>
          <w:szCs w:val="21"/>
          <w:shd w:val="clear" w:color="auto" w:fill="FFFFFF"/>
        </w:rPr>
      </w:pPr>
      <w:r>
        <w:rPr>
          <w:rFonts w:ascii="Times New Roman" w:hAnsi="宋体" w:eastAsia="宋体"/>
          <w:szCs w:val="21"/>
        </w:rPr>
        <w:t>取尿激酶标准品，按标示效价加入所需PBS缓冲液溶解，配制的尿激酶标准溶液为</w:t>
      </w:r>
      <w:r>
        <w:rPr>
          <w:rFonts w:ascii="Times New Roman" w:eastAsia="宋体"/>
          <w:color w:val="000000"/>
          <w:szCs w:val="21"/>
          <w:shd w:val="clear" w:color="auto" w:fill="FFFFFF"/>
        </w:rPr>
        <w:t>1000</w:t>
      </w:r>
      <w:r>
        <w:rPr>
          <w:rFonts w:hint="eastAsia" w:ascii="Times New Roman" w:eastAsia="宋体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/>
          <w:color w:val="000000"/>
          <w:szCs w:val="21"/>
          <w:shd w:val="clear" w:color="auto" w:fill="FFFFFF"/>
        </w:rPr>
        <w:t>IU/mL</w:t>
      </w:r>
      <w:r>
        <w:rPr>
          <w:rFonts w:ascii="Times New Roman" w:hAnsi="宋体" w:eastAsia="宋体"/>
          <w:color w:val="000000"/>
          <w:szCs w:val="21"/>
          <w:shd w:val="clear" w:color="auto" w:fill="FFFFFF"/>
        </w:rPr>
        <w:t>，按</w:t>
      </w:r>
      <w:r>
        <w:rPr>
          <w:rFonts w:hint="eastAsia" w:ascii="Times New Roman" w:hAnsi="宋体" w:eastAsia="宋体"/>
          <w:color w:val="000000"/>
          <w:szCs w:val="21"/>
          <w:shd w:val="clear" w:color="auto" w:fill="FFFFFF"/>
        </w:rPr>
        <w:t>表B.1</w:t>
      </w:r>
      <w:r>
        <w:rPr>
          <w:rFonts w:ascii="Times New Roman" w:hAnsi="宋体" w:eastAsia="宋体"/>
          <w:color w:val="000000"/>
          <w:szCs w:val="21"/>
          <w:shd w:val="clear" w:color="auto" w:fill="FFFFFF"/>
        </w:rPr>
        <w:t>继续配制尿激酶标准系列溶液。</w:t>
      </w:r>
    </w:p>
    <w:p>
      <w:pPr>
        <w:spacing w:beforeLines="50" w:afterLines="50"/>
        <w:jc w:val="center"/>
        <w:rPr>
          <w:rFonts w:ascii="黑体" w:hAnsi="黑体" w:eastAsia="黑体"/>
          <w:color w:val="000000"/>
          <w:szCs w:val="21"/>
          <w:shd w:val="clear" w:color="auto" w:fill="FFFFFF"/>
        </w:rPr>
      </w:pPr>
      <w:r>
        <w:rPr>
          <w:rFonts w:hint="eastAsia" w:ascii="黑体" w:hAnsi="黑体" w:eastAsia="黑体"/>
          <w:color w:val="000000"/>
          <w:szCs w:val="21"/>
          <w:shd w:val="clear" w:color="auto" w:fill="FFFFFF"/>
        </w:rPr>
        <w:t>表B.1尿激酶标准系列溶液配制</w:t>
      </w:r>
    </w:p>
    <w:tbl>
      <w:tblPr>
        <w:tblStyle w:val="41"/>
        <w:tblW w:w="8353" w:type="dxa"/>
        <w:jc w:val="center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2791"/>
        <w:gridCol w:w="2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Cs w:val="21"/>
              </w:rPr>
              <w:t>尿激酶对照系列溶液浓度</w:t>
            </w:r>
            <w:r>
              <w:rPr>
                <w:rFonts w:eastAsia="宋体"/>
                <w:color w:val="000000"/>
                <w:kern w:val="0"/>
                <w:szCs w:val="21"/>
              </w:rPr>
              <w:t>IU/mL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Cs w:val="21"/>
              </w:rPr>
              <w:t>尿激酶对照溶液取样量</w:t>
            </w:r>
            <w:r>
              <w:rPr>
                <w:rFonts w:eastAsia="宋体"/>
                <w:color w:val="000000"/>
                <w:kern w:val="0"/>
                <w:szCs w:val="21"/>
              </w:rPr>
              <w:t>μL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PBS</w:t>
            </w:r>
            <w:r>
              <w:rPr>
                <w:rFonts w:hAnsi="宋体" w:eastAsia="宋体"/>
                <w:color w:val="000000"/>
                <w:kern w:val="0"/>
                <w:szCs w:val="21"/>
              </w:rPr>
              <w:t>缓冲液取样量</w:t>
            </w:r>
            <w:r>
              <w:rPr>
                <w:rFonts w:eastAsia="宋体"/>
                <w:color w:val="000000"/>
                <w:kern w:val="0"/>
                <w:szCs w:val="21"/>
              </w:rPr>
              <w:t>μL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390</w:t>
            </w:r>
          </w:p>
        </w:tc>
      </w:tr>
    </w:tbl>
    <w:p>
      <w:pPr>
        <w:spacing w:line="360" w:lineRule="auto"/>
        <w:ind w:firstLine="315" w:firstLineChars="150"/>
        <w:rPr>
          <w:rFonts w:eastAsia="宋体"/>
          <w:color w:val="000000"/>
          <w:szCs w:val="21"/>
          <w:shd w:val="clear" w:color="auto" w:fill="FFFFFF"/>
        </w:rPr>
      </w:pPr>
      <w:r>
        <w:rPr>
          <w:rFonts w:hAnsi="宋体" w:eastAsia="宋体"/>
          <w:color w:val="000000"/>
          <w:szCs w:val="21"/>
          <w:shd w:val="clear" w:color="auto" w:fill="FFFFFF"/>
        </w:rPr>
        <w:t>注：稀释后的各标准溶液管应采用涡旋震荡器混合均匀。</w:t>
      </w:r>
    </w:p>
    <w:p>
      <w:pPr>
        <w:pStyle w:val="78"/>
        <w:numPr>
          <w:ilvl w:val="0"/>
          <w:numId w:val="3"/>
        </w:numPr>
        <w:spacing w:before="156" w:after="156"/>
        <w:ind w:left="567" w:hanging="567"/>
        <w:rPr>
          <w:rFonts w:ascii="Times New Roman"/>
        </w:rPr>
      </w:pPr>
      <w:r>
        <w:rPr>
          <w:rFonts w:ascii="Times New Roman" w:hAnsi="黑体"/>
        </w:rPr>
        <w:t>仪器和设备</w:t>
      </w:r>
      <w:r>
        <w:rPr>
          <w:rFonts w:ascii="Times New Roman"/>
        </w:rPr>
        <w:tab/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="宋体"/>
          <w:color w:val="000000"/>
          <w:szCs w:val="21"/>
        </w:rPr>
      </w:pPr>
      <w:r>
        <w:rPr>
          <w:rFonts w:ascii="Times New Roman" w:hAnsi="宋体" w:eastAsia="宋体"/>
          <w:color w:val="000000"/>
          <w:szCs w:val="21"/>
        </w:rPr>
        <w:t>游标卡尺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恒温水浴锅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超纯水仪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恒温培养箱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涡旋混合器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电子分析天平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可调控电炉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超声仪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培养皿（内径14cm）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hAnsi="宋体" w:eastAsia="宋体"/>
          <w:color w:val="000000"/>
          <w:szCs w:val="21"/>
        </w:rPr>
      </w:pPr>
      <w:r>
        <w:rPr>
          <w:rFonts w:ascii="Times New Roman" w:hAnsi="宋体" w:eastAsia="宋体"/>
          <w:szCs w:val="21"/>
        </w:rPr>
        <w:t>打孔器（直径</w:t>
      </w:r>
      <w:r>
        <w:rPr>
          <w:rFonts w:ascii="Times New Roman" w:eastAsia="宋体"/>
          <w:szCs w:val="21"/>
        </w:rPr>
        <w:t>3mm</w:t>
      </w:r>
      <w:r>
        <w:rPr>
          <w:rFonts w:ascii="Times New Roman" w:hAnsi="宋体" w:eastAsia="宋体"/>
          <w:szCs w:val="21"/>
        </w:rPr>
        <w:t>）</w:t>
      </w:r>
    </w:p>
    <w:p>
      <w:pPr>
        <w:pStyle w:val="78"/>
        <w:numPr>
          <w:ilvl w:val="0"/>
          <w:numId w:val="3"/>
        </w:numPr>
        <w:spacing w:before="156" w:after="156"/>
        <w:ind w:left="567" w:hanging="567"/>
        <w:rPr>
          <w:rFonts w:ascii="Times New Roman"/>
        </w:rPr>
      </w:pPr>
      <w:r>
        <w:rPr>
          <w:rFonts w:ascii="Times New Roman" w:hAnsi="黑体"/>
        </w:rPr>
        <w:t>分析步骤</w:t>
      </w:r>
    </w:p>
    <w:p>
      <w:pPr>
        <w:pStyle w:val="78"/>
        <w:numPr>
          <w:ilvl w:val="1"/>
          <w:numId w:val="3"/>
        </w:numPr>
        <w:spacing w:before="156" w:after="156"/>
        <w:ind w:left="737" w:hanging="737"/>
        <w:jc w:val="left"/>
        <w:rPr>
          <w:rFonts w:hAnsi="黑体"/>
        </w:rPr>
      </w:pPr>
      <w:r>
        <w:rPr>
          <w:rFonts w:hAnsi="黑体"/>
        </w:rPr>
        <w:t>样品溶液的制备：</w:t>
      </w:r>
    </w:p>
    <w:p>
      <w:pPr>
        <w:pStyle w:val="78"/>
        <w:numPr>
          <w:ilvl w:val="1"/>
          <w:numId w:val="0"/>
        </w:numPr>
        <w:spacing w:beforeLines="20" w:afterLines="20" w:line="276" w:lineRule="auto"/>
        <w:ind w:firstLine="420" w:firstLineChars="200"/>
        <w:jc w:val="left"/>
        <w:rPr>
          <w:rFonts w:hAnsi="黑体"/>
        </w:rPr>
      </w:pPr>
      <w:r>
        <w:rPr>
          <w:rFonts w:ascii="Times New Roman" w:eastAsia="宋体"/>
          <w:szCs w:val="21"/>
        </w:rPr>
        <w:t>取纳豆粉样品适量（正式检验前有预知大约含量），加适量PBS缓冲溶解，样液浓度稀释至200~400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IU/mL</w:t>
      </w:r>
      <w:r>
        <w:rPr>
          <w:rFonts w:ascii="Times New Roman" w:hAnsi="宋体" w:eastAsia="宋体"/>
          <w:szCs w:val="21"/>
        </w:rPr>
        <w:t>左右。超声提取</w:t>
      </w:r>
      <w:r>
        <w:rPr>
          <w:rFonts w:ascii="Times New Roman" w:eastAsia="宋体"/>
          <w:szCs w:val="21"/>
        </w:rPr>
        <w:t>15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min</w:t>
      </w:r>
      <w:r>
        <w:rPr>
          <w:rFonts w:ascii="Times New Roman" w:hAnsi="宋体" w:eastAsia="宋体"/>
          <w:szCs w:val="21"/>
        </w:rPr>
        <w:t>后定容至容量瓶刻线。</w:t>
      </w:r>
    </w:p>
    <w:p>
      <w:pPr>
        <w:pStyle w:val="78"/>
        <w:numPr>
          <w:ilvl w:val="1"/>
          <w:numId w:val="3"/>
        </w:numPr>
        <w:spacing w:before="156" w:after="156"/>
        <w:ind w:left="737" w:hanging="737"/>
        <w:jc w:val="left"/>
        <w:rPr>
          <w:rFonts w:hAnsi="黑体"/>
        </w:rPr>
      </w:pPr>
      <w:r>
        <w:rPr>
          <w:rFonts w:hAnsi="黑体"/>
        </w:rPr>
        <w:t>纤维蛋白平板的制备：</w:t>
      </w:r>
    </w:p>
    <w:p>
      <w:pPr>
        <w:pStyle w:val="78"/>
        <w:numPr>
          <w:ilvl w:val="1"/>
          <w:numId w:val="0"/>
        </w:numPr>
        <w:spacing w:beforeLines="20" w:afterLines="20" w:line="276" w:lineRule="auto"/>
        <w:ind w:firstLine="420" w:firstLineChars="200"/>
        <w:rPr>
          <w:rFonts w:ascii="Times New Roman" w:eastAsia="宋体"/>
          <w:szCs w:val="21"/>
        </w:rPr>
      </w:pPr>
      <w:r>
        <w:rPr>
          <w:rFonts w:ascii="Times New Roman" w:eastAsia="宋体"/>
          <w:szCs w:val="21"/>
        </w:rPr>
        <w:t>取B.3.2.3纤维蛋白原溶液39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mL置100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mL烧杯中，于50℃水浴加热5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min，边搅拌边加入B.3.2.2琼脂糖溶液39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mL和B.3.2.4凝血酶3.0</w:t>
      </w:r>
      <w:r>
        <w:rPr>
          <w:rFonts w:hint="eastAsia" w:ascii="Times New Roman" w:eastAsia="宋体"/>
          <w:szCs w:val="21"/>
        </w:rPr>
        <w:t xml:space="preserve"> </w:t>
      </w:r>
      <w:r>
        <w:rPr>
          <w:rFonts w:ascii="Times New Roman" w:eastAsia="宋体"/>
          <w:szCs w:val="21"/>
        </w:rPr>
        <w:t>mL，立即混匀，快速倒入培养皿，室温水平放置1小时。</w:t>
      </w:r>
    </w:p>
    <w:p>
      <w:pPr>
        <w:pStyle w:val="78"/>
        <w:numPr>
          <w:ilvl w:val="1"/>
          <w:numId w:val="0"/>
        </w:numPr>
        <w:spacing w:beforeLines="20" w:afterLines="20" w:line="276" w:lineRule="auto"/>
        <w:ind w:firstLine="420" w:firstLineChars="200"/>
        <w:rPr>
          <w:rFonts w:ascii="Times New Roman" w:eastAsia="宋体"/>
          <w:szCs w:val="21"/>
        </w:rPr>
      </w:pPr>
      <w:r>
        <w:rPr>
          <w:rFonts w:ascii="Times New Roman" w:eastAsia="宋体"/>
          <w:szCs w:val="21"/>
        </w:rPr>
        <w:t>用纸画一同培养皿底部相同、直径为14cm的圆，在圆的中心画一直径为24mm的小圆，以此小圆的圆心为中心点，放上已制备好的平板。用打孔器的不锈钢小管，在纤维蛋白平板上垂直打孔。</w:t>
      </w:r>
    </w:p>
    <w:p>
      <w:pPr>
        <w:pStyle w:val="78"/>
        <w:numPr>
          <w:ilvl w:val="1"/>
          <w:numId w:val="0"/>
        </w:numPr>
        <w:spacing w:beforeLines="20" w:afterLines="20" w:line="276" w:lineRule="auto"/>
        <w:ind w:firstLine="420" w:firstLineChars="200"/>
        <w:rPr>
          <w:rFonts w:ascii="Times New Roman" w:eastAsia="宋体"/>
          <w:szCs w:val="21"/>
        </w:rPr>
      </w:pPr>
      <w:r>
        <w:rPr>
          <w:rFonts w:ascii="Times New Roman" w:eastAsia="宋体"/>
          <w:szCs w:val="21"/>
        </w:rPr>
        <w:t>所需打孔的数目为标准系列数目加样品（包括平行样）数目的和，孔与孔之间保持15mm的距离，以防止溶圈交叉，影响测量的直径结果。</w:t>
      </w:r>
    </w:p>
    <w:p>
      <w:pPr>
        <w:pStyle w:val="78"/>
        <w:numPr>
          <w:ilvl w:val="1"/>
          <w:numId w:val="3"/>
        </w:numPr>
        <w:spacing w:before="156" w:after="156"/>
        <w:ind w:left="737" w:hanging="737"/>
        <w:jc w:val="left"/>
        <w:rPr>
          <w:rFonts w:hAnsi="黑体"/>
        </w:rPr>
      </w:pPr>
      <w:r>
        <w:rPr>
          <w:rFonts w:hAnsi="黑体"/>
        </w:rPr>
        <w:t>测定：</w:t>
      </w:r>
    </w:p>
    <w:p>
      <w:pPr>
        <w:pStyle w:val="78"/>
        <w:numPr>
          <w:ilvl w:val="2"/>
          <w:numId w:val="3"/>
        </w:numPr>
        <w:spacing w:before="156" w:after="156"/>
        <w:ind w:left="851" w:hanging="851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尿激酶对照曲线点样：</w:t>
      </w:r>
    </w:p>
    <w:p>
      <w:pPr>
        <w:pStyle w:val="78"/>
        <w:numPr>
          <w:ilvl w:val="1"/>
          <w:numId w:val="0"/>
        </w:numPr>
        <w:spacing w:beforeLines="20" w:afterLines="20" w:line="276" w:lineRule="auto"/>
        <w:ind w:firstLine="420" w:firstLineChars="200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用移液器精密量取</w:t>
      </w:r>
      <w:r>
        <w:rPr>
          <w:rFonts w:ascii="Times New Roman" w:eastAsia="宋体"/>
          <w:szCs w:val="21"/>
        </w:rPr>
        <w:t>B.3.2.5.1</w:t>
      </w:r>
      <w:r>
        <w:rPr>
          <w:rFonts w:ascii="Times New Roman" w:hAnsi="宋体" w:eastAsia="宋体"/>
          <w:szCs w:val="21"/>
        </w:rPr>
        <w:t>表中不同浓度尿激酶对照溶液各</w:t>
      </w:r>
      <w:r>
        <w:rPr>
          <w:rFonts w:ascii="Times New Roman" w:eastAsia="宋体"/>
          <w:szCs w:val="21"/>
        </w:rPr>
        <w:t>10uL</w:t>
      </w:r>
      <w:r>
        <w:rPr>
          <w:rFonts w:ascii="Times New Roman" w:hAnsi="宋体" w:eastAsia="宋体"/>
          <w:szCs w:val="21"/>
        </w:rPr>
        <w:t>，分别垂直点在</w:t>
      </w:r>
      <w:r>
        <w:rPr>
          <w:rFonts w:ascii="Times New Roman" w:eastAsia="宋体"/>
          <w:szCs w:val="21"/>
        </w:rPr>
        <w:t>B.5.2</w:t>
      </w:r>
      <w:r>
        <w:rPr>
          <w:rFonts w:ascii="Times New Roman" w:hAnsi="宋体" w:eastAsia="宋体"/>
          <w:szCs w:val="21"/>
        </w:rPr>
        <w:t>制备的纤维蛋白平板孔中，并标记各点的浓度。</w:t>
      </w:r>
    </w:p>
    <w:p>
      <w:pPr>
        <w:pStyle w:val="78"/>
        <w:numPr>
          <w:ilvl w:val="2"/>
          <w:numId w:val="3"/>
        </w:numPr>
        <w:spacing w:before="156" w:after="156"/>
        <w:ind w:left="851" w:hanging="851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纳豆粉样品点样：</w:t>
      </w:r>
    </w:p>
    <w:p>
      <w:pPr>
        <w:spacing w:line="276" w:lineRule="auto"/>
        <w:ind w:firstLine="420" w:firstLineChars="200"/>
        <w:rPr>
          <w:rFonts w:eastAsia="宋体"/>
          <w:szCs w:val="21"/>
        </w:rPr>
      </w:pPr>
      <w:r>
        <w:rPr>
          <w:rFonts w:hAnsi="宋体" w:eastAsia="宋体"/>
          <w:szCs w:val="21"/>
        </w:rPr>
        <w:t>根据预先估算样品的纳豆激酶大小（可参照以往的数据），称取样品适量于适当的容量瓶中，样品量的大小应使最终点样浓度在</w:t>
      </w:r>
      <w:r>
        <w:rPr>
          <w:rFonts w:eastAsia="宋体"/>
          <w:szCs w:val="21"/>
        </w:rPr>
        <w:t>200~400IU/mL</w:t>
      </w:r>
      <w:r>
        <w:rPr>
          <w:rFonts w:hAnsi="宋体" w:eastAsia="宋体"/>
          <w:szCs w:val="21"/>
        </w:rPr>
        <w:t>左右即可。用移液器精密量取样品溶液</w:t>
      </w:r>
      <w:r>
        <w:rPr>
          <w:rFonts w:eastAsia="宋体"/>
          <w:szCs w:val="21"/>
        </w:rPr>
        <w:t>10uL</w:t>
      </w:r>
      <w:r>
        <w:rPr>
          <w:rFonts w:hAnsi="宋体" w:eastAsia="宋体"/>
          <w:szCs w:val="21"/>
        </w:rPr>
        <w:t>点样，同时做</w:t>
      </w:r>
      <w:r>
        <w:rPr>
          <w:rFonts w:eastAsia="宋体"/>
          <w:szCs w:val="21"/>
        </w:rPr>
        <w:t>1-2</w:t>
      </w:r>
      <w:r>
        <w:rPr>
          <w:rFonts w:hAnsi="宋体" w:eastAsia="宋体"/>
          <w:szCs w:val="21"/>
        </w:rPr>
        <w:t>个平行样。尿激酶标准曲线系列和样品溶液同在一个纤维蛋白平板中点样，并准确标记样品号。点样完成后盖上平皿盖，置于</w:t>
      </w:r>
      <w:r>
        <w:rPr>
          <w:rFonts w:eastAsia="宋体"/>
          <w:szCs w:val="21"/>
        </w:rPr>
        <w:t>37</w:t>
      </w:r>
      <w:r>
        <w:rPr>
          <w:rFonts w:ascii="宋体" w:hAnsi="宋体" w:eastAsia="宋体"/>
          <w:szCs w:val="21"/>
        </w:rPr>
        <w:t>℃</w:t>
      </w:r>
      <w:r>
        <w:rPr>
          <w:rFonts w:hAnsi="宋体" w:eastAsia="宋体"/>
          <w:szCs w:val="21"/>
        </w:rPr>
        <w:t>恒温箱中反应</w:t>
      </w:r>
      <w:r>
        <w:rPr>
          <w:rFonts w:eastAsia="宋体"/>
          <w:szCs w:val="21"/>
        </w:rPr>
        <w:t>18</w:t>
      </w:r>
      <w:r>
        <w:rPr>
          <w:rFonts w:hAnsi="宋体" w:eastAsia="宋体"/>
          <w:szCs w:val="21"/>
        </w:rPr>
        <w:t>小时。</w:t>
      </w:r>
    </w:p>
    <w:p>
      <w:pPr>
        <w:pStyle w:val="78"/>
        <w:numPr>
          <w:ilvl w:val="2"/>
          <w:numId w:val="3"/>
        </w:numPr>
        <w:spacing w:before="156" w:after="156"/>
        <w:ind w:left="851" w:hanging="851"/>
        <w:jc w:val="left"/>
        <w:rPr>
          <w:rFonts w:ascii="Times New Roman" w:hAnsi="宋体" w:eastAsia="宋体"/>
          <w:szCs w:val="21"/>
        </w:rPr>
      </w:pPr>
      <w:r>
        <w:rPr>
          <w:rFonts w:ascii="Times New Roman" w:hAnsi="宋体" w:eastAsia="宋体"/>
          <w:szCs w:val="21"/>
        </w:rPr>
        <w:t>溶圈测量</w:t>
      </w:r>
    </w:p>
    <w:p>
      <w:pPr>
        <w:spacing w:line="276" w:lineRule="auto"/>
        <w:ind w:firstLine="420" w:firstLineChars="200"/>
        <w:rPr>
          <w:rFonts w:eastAsia="宋体"/>
          <w:szCs w:val="21"/>
        </w:rPr>
      </w:pPr>
      <w:r>
        <w:rPr>
          <w:rFonts w:hAnsi="宋体" w:eastAsia="宋体"/>
          <w:szCs w:val="21"/>
        </w:rPr>
        <w:t>取出平板即刻开始测量溶圈直径（注：平板取出后溶圈反应仍在进行中，如测量时间拖延较长，将影响溶圈直径大小的判断。将平板放入</w:t>
      </w:r>
      <w:r>
        <w:rPr>
          <w:rFonts w:eastAsia="宋体"/>
          <w:szCs w:val="21"/>
        </w:rPr>
        <w:t>5</w:t>
      </w:r>
      <w:r>
        <w:rPr>
          <w:rFonts w:ascii="宋体" w:hAnsi="宋体" w:eastAsia="宋体"/>
          <w:szCs w:val="21"/>
        </w:rPr>
        <w:t>℃</w:t>
      </w:r>
      <w:r>
        <w:rPr>
          <w:rFonts w:hAnsi="宋体" w:eastAsia="宋体"/>
          <w:szCs w:val="21"/>
        </w:rPr>
        <w:t>冰箱可协助溶圈反应暂时停止），计算溶圈面积</w:t>
      </w:r>
      <w:r>
        <w:rPr>
          <w:rFonts w:eastAsia="宋体"/>
          <w:szCs w:val="21"/>
        </w:rPr>
        <w:t>=πR</w:t>
      </w:r>
      <w:r>
        <w:rPr>
          <w:rFonts w:eastAsia="宋体"/>
          <w:szCs w:val="21"/>
          <w:vertAlign w:val="superscript"/>
        </w:rPr>
        <w:t>2</w:t>
      </w:r>
      <w:r>
        <w:rPr>
          <w:rFonts w:hAnsi="宋体" w:eastAsia="宋体"/>
          <w:szCs w:val="21"/>
        </w:rPr>
        <w:t>。以溶圈面积对数为横坐标，浓度对数为纵坐标作回归曲线，得出相应的回归方程。根据回归方程计算样品中纳豆激酶大小</w:t>
      </w:r>
      <w:r>
        <w:rPr>
          <w:rFonts w:eastAsia="宋体"/>
          <w:szCs w:val="21"/>
        </w:rPr>
        <w:t>C</w:t>
      </w:r>
      <w:r>
        <w:rPr>
          <w:rFonts w:hAnsi="宋体" w:eastAsia="宋体"/>
          <w:szCs w:val="21"/>
        </w:rPr>
        <w:t>。</w:t>
      </w:r>
    </w:p>
    <w:p>
      <w:pPr>
        <w:pStyle w:val="78"/>
        <w:numPr>
          <w:ilvl w:val="0"/>
          <w:numId w:val="3"/>
        </w:numPr>
        <w:spacing w:before="156" w:after="156"/>
        <w:ind w:left="567" w:hanging="567"/>
        <w:rPr>
          <w:rFonts w:ascii="Times New Roman"/>
        </w:rPr>
      </w:pPr>
      <w:r>
        <w:rPr>
          <w:rFonts w:ascii="Times New Roman" w:hAnsi="黑体"/>
        </w:rPr>
        <w:t>计算</w:t>
      </w:r>
    </w:p>
    <w:p>
      <w:pPr>
        <w:spacing w:line="276" w:lineRule="auto"/>
        <w:ind w:firstLine="525" w:firstLineChars="250"/>
        <w:rPr>
          <w:rFonts w:eastAsia="宋体"/>
          <w:szCs w:val="21"/>
        </w:rPr>
      </w:pPr>
      <w:r>
        <w:rPr>
          <w:rFonts w:hAnsi="宋体" w:eastAsia="宋体"/>
          <w:szCs w:val="21"/>
        </w:rPr>
        <w:t>样品中纳豆激酶的活性</w:t>
      </w:r>
      <w:r>
        <w:rPr>
          <w:rFonts w:eastAsia="宋体"/>
          <w:szCs w:val="21"/>
        </w:rPr>
        <w:t>X=C×V/M</w:t>
      </w:r>
    </w:p>
    <w:p>
      <w:pPr>
        <w:spacing w:line="276" w:lineRule="auto"/>
        <w:rPr>
          <w:rFonts w:eastAsia="宋体"/>
          <w:szCs w:val="21"/>
        </w:rPr>
      </w:pPr>
      <w:r>
        <w:rPr>
          <w:rFonts w:hAnsi="宋体" w:eastAsia="宋体"/>
          <w:szCs w:val="21"/>
        </w:rPr>
        <w:t>其中：</w:t>
      </w:r>
    </w:p>
    <w:p>
      <w:pPr>
        <w:spacing w:line="276" w:lineRule="auto"/>
        <w:ind w:firstLine="630" w:firstLineChars="300"/>
        <w:rPr>
          <w:rFonts w:eastAsia="宋体"/>
          <w:szCs w:val="21"/>
        </w:rPr>
      </w:pPr>
      <w:r>
        <w:rPr>
          <w:rFonts w:eastAsia="宋体"/>
          <w:szCs w:val="21"/>
        </w:rPr>
        <w:t>X</w:t>
      </w:r>
      <w:r>
        <w:rPr>
          <w:rFonts w:hAnsi="宋体" w:eastAsia="宋体"/>
          <w:szCs w:val="21"/>
        </w:rPr>
        <w:t>：样品纳豆激酶，</w:t>
      </w:r>
      <w:r>
        <w:rPr>
          <w:rFonts w:eastAsia="宋体"/>
          <w:szCs w:val="21"/>
        </w:rPr>
        <w:t>IU/g</w:t>
      </w:r>
      <w:r>
        <w:rPr>
          <w:rFonts w:hAnsi="宋体" w:eastAsia="宋体"/>
          <w:szCs w:val="21"/>
        </w:rPr>
        <w:t>；</w:t>
      </w:r>
    </w:p>
    <w:p>
      <w:pPr>
        <w:spacing w:line="276" w:lineRule="auto"/>
        <w:ind w:firstLine="630" w:firstLineChars="300"/>
        <w:rPr>
          <w:rFonts w:eastAsia="宋体"/>
          <w:szCs w:val="21"/>
        </w:rPr>
      </w:pPr>
      <w:r>
        <w:rPr>
          <w:rFonts w:eastAsia="宋体"/>
          <w:szCs w:val="21"/>
        </w:rPr>
        <w:t>C</w:t>
      </w:r>
      <w:r>
        <w:rPr>
          <w:rFonts w:hAnsi="宋体" w:eastAsia="宋体"/>
          <w:szCs w:val="21"/>
        </w:rPr>
        <w:t>：通过回归方程计算的样品液中纳豆激酶，</w:t>
      </w:r>
      <w:r>
        <w:rPr>
          <w:rFonts w:eastAsia="宋体"/>
          <w:szCs w:val="21"/>
        </w:rPr>
        <w:t>IU/mL</w:t>
      </w:r>
      <w:r>
        <w:rPr>
          <w:rFonts w:hAnsi="宋体" w:eastAsia="宋体"/>
          <w:szCs w:val="21"/>
        </w:rPr>
        <w:t>；</w:t>
      </w:r>
    </w:p>
    <w:p>
      <w:pPr>
        <w:spacing w:line="276" w:lineRule="auto"/>
        <w:ind w:firstLine="630" w:firstLineChars="300"/>
        <w:rPr>
          <w:rFonts w:eastAsia="宋体"/>
          <w:szCs w:val="21"/>
        </w:rPr>
      </w:pPr>
      <w:r>
        <w:rPr>
          <w:rFonts w:eastAsia="宋体"/>
          <w:szCs w:val="21"/>
        </w:rPr>
        <w:t>V</w:t>
      </w:r>
      <w:r>
        <w:rPr>
          <w:rFonts w:hAnsi="宋体" w:eastAsia="宋体"/>
          <w:szCs w:val="21"/>
        </w:rPr>
        <w:t>：样品稀释总体积，</w:t>
      </w:r>
      <w:r>
        <w:rPr>
          <w:rFonts w:eastAsia="宋体"/>
          <w:szCs w:val="21"/>
        </w:rPr>
        <w:t>mL</w:t>
      </w:r>
      <w:r>
        <w:rPr>
          <w:rFonts w:hAnsi="宋体" w:eastAsia="宋体"/>
          <w:szCs w:val="21"/>
        </w:rPr>
        <w:t>；</w:t>
      </w:r>
    </w:p>
    <w:p>
      <w:pPr>
        <w:spacing w:line="276" w:lineRule="auto"/>
        <w:ind w:firstLine="630" w:firstLineChars="300"/>
        <w:rPr>
          <w:rFonts w:eastAsia="宋体"/>
          <w:szCs w:val="21"/>
        </w:rPr>
      </w:pPr>
      <w:r>
        <w:rPr>
          <w:rFonts w:eastAsia="宋体"/>
          <w:szCs w:val="21"/>
        </w:rPr>
        <w:t>M</w:t>
      </w:r>
      <w:r>
        <w:rPr>
          <w:rFonts w:hAnsi="宋体" w:eastAsia="宋体"/>
          <w:szCs w:val="21"/>
        </w:rPr>
        <w:t>：样品质量，</w:t>
      </w:r>
      <w:r>
        <w:rPr>
          <w:rFonts w:eastAsia="宋体"/>
          <w:szCs w:val="21"/>
        </w:rPr>
        <w:t>g</w:t>
      </w:r>
      <w:r>
        <w:rPr>
          <w:rFonts w:hAnsi="宋体" w:eastAsia="宋体"/>
          <w:szCs w:val="21"/>
        </w:rPr>
        <w:t>。</w:t>
      </w:r>
    </w:p>
    <w:p>
      <w:pPr>
        <w:pStyle w:val="78"/>
        <w:numPr>
          <w:ilvl w:val="0"/>
          <w:numId w:val="3"/>
        </w:numPr>
        <w:spacing w:before="156" w:after="156"/>
        <w:ind w:left="567" w:hanging="567"/>
        <w:rPr>
          <w:rFonts w:ascii="Times New Roman"/>
        </w:rPr>
      </w:pPr>
      <w:r>
        <w:rPr>
          <w:rFonts w:ascii="Times New Roman" w:hAnsi="黑体"/>
        </w:rPr>
        <w:t>分析步骤的关键控制点及说明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="宋体"/>
        </w:rPr>
      </w:pPr>
      <w:r>
        <w:rPr>
          <w:rFonts w:ascii="Times New Roman" w:hAnsi="宋体" w:eastAsia="宋体"/>
        </w:rPr>
        <w:t>实验前，所使用的平皿及其他器具应先在紫外灯下消毒</w:t>
      </w:r>
      <w:r>
        <w:rPr>
          <w:rFonts w:ascii="Times New Roman" w:eastAsia="宋体"/>
        </w:rPr>
        <w:t>30min</w:t>
      </w:r>
      <w:r>
        <w:rPr>
          <w:rFonts w:ascii="Times New Roman" w:hAnsi="宋体" w:eastAsia="宋体"/>
        </w:rPr>
        <w:t>。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="宋体"/>
        </w:rPr>
      </w:pPr>
      <w:r>
        <w:rPr>
          <w:rFonts w:ascii="Times New Roman" w:eastAsia="宋体"/>
        </w:rPr>
        <w:t>PBS</w:t>
      </w:r>
      <w:r>
        <w:rPr>
          <w:rFonts w:ascii="Times New Roman" w:hAnsi="宋体" w:eastAsia="宋体"/>
        </w:rPr>
        <w:t>缓冲液及</w:t>
      </w:r>
      <w:r>
        <w:rPr>
          <w:rFonts w:ascii="Times New Roman" w:eastAsia="宋体"/>
        </w:rPr>
        <w:t>0.9%</w:t>
      </w:r>
      <w:r>
        <w:rPr>
          <w:rFonts w:ascii="Times New Roman" w:hAnsi="宋体" w:eastAsia="宋体"/>
        </w:rPr>
        <w:t>氯化钠溶液均需进行灭菌。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="宋体"/>
        </w:rPr>
      </w:pPr>
      <w:r>
        <w:rPr>
          <w:rFonts w:ascii="Times New Roman" w:hAnsi="宋体" w:eastAsia="宋体"/>
        </w:rPr>
        <w:t>可将凝血酶先配制成</w:t>
      </w:r>
      <w:r>
        <w:rPr>
          <w:rFonts w:ascii="Times New Roman" w:eastAsia="宋体"/>
        </w:rPr>
        <w:t>20</w:t>
      </w:r>
      <w:r>
        <w:rPr>
          <w:rFonts w:hint="eastAsia" w:ascii="Times New Roman" w:eastAsia="宋体"/>
        </w:rPr>
        <w:t xml:space="preserve"> </w:t>
      </w:r>
      <w:r>
        <w:rPr>
          <w:rFonts w:ascii="Times New Roman" w:eastAsia="宋体"/>
        </w:rPr>
        <w:t>U/mL</w:t>
      </w:r>
      <w:r>
        <w:rPr>
          <w:rFonts w:ascii="Times New Roman" w:hAnsi="宋体" w:eastAsia="宋体"/>
        </w:rPr>
        <w:t>或</w:t>
      </w:r>
      <w:r>
        <w:rPr>
          <w:rFonts w:ascii="Times New Roman" w:eastAsia="宋体"/>
        </w:rPr>
        <w:t>20</w:t>
      </w:r>
      <w:r>
        <w:rPr>
          <w:rFonts w:hint="eastAsia" w:ascii="Times New Roman" w:eastAsia="宋体"/>
        </w:rPr>
        <w:t xml:space="preserve"> </w:t>
      </w:r>
      <w:r>
        <w:rPr>
          <w:rFonts w:ascii="Times New Roman" w:eastAsia="宋体"/>
        </w:rPr>
        <w:t>BP/mL</w:t>
      </w:r>
      <w:r>
        <w:rPr>
          <w:rFonts w:ascii="Times New Roman" w:hAnsi="宋体" w:eastAsia="宋体"/>
        </w:rPr>
        <w:t>溶液，分装于小离心管存放于</w:t>
      </w:r>
      <w:r>
        <w:rPr>
          <w:rFonts w:ascii="Times New Roman" w:eastAsia="宋体"/>
        </w:rPr>
        <w:t>-20</w:t>
      </w:r>
      <w:r>
        <w:rPr>
          <w:rFonts w:ascii="宋体" w:hAnsi="宋体" w:eastAsia="宋体"/>
        </w:rPr>
        <w:t>℃</w:t>
      </w:r>
      <w:r>
        <w:rPr>
          <w:rFonts w:ascii="Times New Roman" w:hAnsi="宋体" w:eastAsia="宋体"/>
        </w:rPr>
        <w:t>冰箱中，使用前根据配制的纤维蛋白原的量进行稀释使用。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="宋体"/>
        </w:rPr>
      </w:pPr>
      <w:r>
        <w:rPr>
          <w:rFonts w:ascii="Times New Roman" w:hAnsi="宋体" w:eastAsia="宋体"/>
        </w:rPr>
        <w:t>平板制备过程，平皿应水平放置在平整桌面上，倒平板时要防止产生气泡。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="宋体"/>
        </w:rPr>
      </w:pPr>
      <w:r>
        <w:rPr>
          <w:rFonts w:ascii="Times New Roman" w:hAnsi="宋体" w:eastAsia="宋体"/>
        </w:rPr>
        <w:t>在样品制备时，可参照样品中纳豆激酶大致含量，来直接推测称样量的大小，目的是使最终点样浓度在</w:t>
      </w:r>
      <w:r>
        <w:rPr>
          <w:rFonts w:ascii="Times New Roman" w:eastAsia="宋体"/>
        </w:rPr>
        <w:t>200~400</w:t>
      </w:r>
      <w:r>
        <w:rPr>
          <w:rFonts w:hint="eastAsia" w:ascii="Times New Roman" w:eastAsia="宋体"/>
        </w:rPr>
        <w:t xml:space="preserve"> </w:t>
      </w:r>
      <w:r>
        <w:rPr>
          <w:rFonts w:ascii="Times New Roman" w:eastAsia="宋体"/>
        </w:rPr>
        <w:t>IU/mL</w:t>
      </w:r>
      <w:r>
        <w:rPr>
          <w:rFonts w:ascii="Times New Roman" w:hAnsi="宋体" w:eastAsia="宋体"/>
        </w:rPr>
        <w:t>范围内即可。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="宋体"/>
        </w:rPr>
      </w:pPr>
      <w:r>
        <w:rPr>
          <w:rFonts w:ascii="Times New Roman" w:hAnsi="宋体" w:eastAsia="宋体"/>
        </w:rPr>
        <w:t>纤维蛋白原溶液水浴时间及培养时间，要严格按标准进行控制。</w:t>
      </w:r>
    </w:p>
    <w:p>
      <w:pPr>
        <w:pStyle w:val="78"/>
        <w:numPr>
          <w:ilvl w:val="1"/>
          <w:numId w:val="3"/>
        </w:numPr>
        <w:spacing w:beforeLines="20" w:afterLines="20" w:line="276" w:lineRule="auto"/>
        <w:ind w:left="737" w:hanging="737"/>
        <w:jc w:val="left"/>
        <w:rPr>
          <w:rFonts w:ascii="Times New Roman" w:eastAsia="宋体"/>
        </w:rPr>
      </w:pPr>
      <w:r>
        <w:rPr>
          <w:rFonts w:ascii="Times New Roman" w:hAnsi="Times New Roman" w:eastAsia="宋体" w:cs="Times New Roman"/>
          <w:sz w:val="21"/>
          <w:lang w:val="en-US" w:eastAsia="zh-CN" w:bidi="ar-SA"/>
        </w:rPr>
        <w:pict>
          <v:shape id="自选图形 14" o:spid="_x0000_s1026" type="#_x0000_t32" style="position:absolute;left:0;margin-left:112.1pt;margin-top:36.25pt;height:0.05pt;width:139.9pt;rotation:0f;z-index:251667456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宋体" w:eastAsia="宋体"/>
        </w:rPr>
        <w:t>如同时做多个平板来不及测量，可先放</w:t>
      </w:r>
      <w:r>
        <w:rPr>
          <w:rFonts w:ascii="Times New Roman" w:eastAsia="宋体"/>
        </w:rPr>
        <w:t>5</w:t>
      </w:r>
      <w:r>
        <w:rPr>
          <w:rFonts w:ascii="宋体" w:hAnsi="宋体" w:eastAsia="宋体"/>
        </w:rPr>
        <w:t>℃</w:t>
      </w:r>
      <w:r>
        <w:rPr>
          <w:rFonts w:ascii="Times New Roman" w:hAnsi="宋体" w:eastAsia="宋体"/>
        </w:rPr>
        <w:t>冰箱，抑制溶圈的生长。</w:t>
      </w:r>
    </w:p>
    <w:sectPr>
      <w:headerReference r:id="rId9" w:type="default"/>
      <w:footerReference r:id="rId10" w:type="default"/>
      <w:pgSz w:w="11907" w:h="16839"/>
      <w:pgMar w:top="1440" w:right="1800" w:bottom="1440" w:left="1800" w:header="794" w:footer="567" w:gutter="0"/>
      <w:pgNumType w:start="1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2"/>
      <w:framePr w:wrap="around" w:vAnchor="text" w:hAnchor="margin" w:xAlign="right" w:y="1"/>
      <w:tabs>
        <w:tab w:val="left" w:pos="360"/>
        <w:tab w:val="left" w:pos="9215"/>
      </w:tabs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end"/>
    </w:r>
  </w:p>
  <w:p>
    <w:pPr>
      <w:pStyle w:val="22"/>
      <w:tabs>
        <w:tab w:val="left" w:pos="360"/>
        <w:tab w:val="left" w:pos="92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2"/>
      <w:tabs>
        <w:tab w:val="left" w:pos="360"/>
        <w:tab w:val="left" w:pos="9215"/>
      </w:tabs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3"/>
      <w:pBdr>
        <w:bottom w:val="none" w:color="auto" w:sz="0" w:space="0"/>
      </w:pBdr>
      <w:tabs>
        <w:tab w:val="left" w:pos="360"/>
        <w:tab w:val="left" w:pos="92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1"/>
      <w:spacing w:beforeLines="200" w:afterLines="200"/>
      <w:jc w:val="right"/>
      <w:rPr>
        <w:rFonts w:ascii="黑体" w:hAnsi="黑体" w:eastAsia="黑体"/>
      </w:rPr>
    </w:pPr>
    <w:r>
      <w:rPr>
        <w:rFonts w:hint="eastAsia" w:ascii="黑体" w:hAnsi="黑体" w:eastAsia="黑体"/>
      </w:rPr>
      <w:t>DBS 44/XXX 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34659698">
    <w:nsid w:val="1FDE4272"/>
    <w:multiLevelType w:val="multilevel"/>
    <w:tmpl w:val="1FDE4272"/>
    <w:lvl w:ilvl="0" w:tentative="1">
      <w:start w:val="1"/>
      <w:numFmt w:val="decimal"/>
      <w:lvlText w:val="A.%1"/>
      <w:lvlJc w:val="left"/>
      <w:pPr>
        <w:ind w:left="420" w:hanging="420"/>
      </w:pPr>
      <w:rPr>
        <w:rFonts w:hint="eastAsia" w:eastAsia="黑体"/>
      </w:rPr>
    </w:lvl>
    <w:lvl w:ilvl="1" w:tentative="1">
      <w:start w:val="1"/>
      <w:numFmt w:val="decimal"/>
      <w:lvlText w:val="A.%1.%2"/>
      <w:lvlJc w:val="left"/>
      <w:pPr>
        <w:ind w:left="0" w:firstLine="0"/>
      </w:pPr>
      <w:rPr>
        <w:rFonts w:hint="eastAsia" w:ascii="黑体" w:hAnsi="黑体" w:eastAsia="黑体"/>
      </w:rPr>
    </w:lvl>
    <w:lvl w:ilvl="2" w:tentative="1">
      <w:start w:val="1"/>
      <w:numFmt w:val="decimal"/>
      <w:lvlText w:val="A.%1.%2.%3"/>
      <w:lvlJc w:val="left"/>
      <w:pPr>
        <w:ind w:left="624" w:hanging="624"/>
      </w:pPr>
      <w:rPr>
        <w:rFonts w:hint="eastAsia" w:ascii="黑体" w:hAnsi="黑体" w:eastAsia="黑体"/>
      </w:rPr>
    </w:lvl>
    <w:lvl w:ilvl="3" w:tentative="1">
      <w:start w:val="1"/>
      <w:numFmt w:val="decimal"/>
      <w:lvlText w:val="A.%1.%2.%3.%4"/>
      <w:lvlJc w:val="left"/>
      <w:pPr>
        <w:ind w:left="420" w:hanging="420"/>
      </w:pPr>
      <w:rPr>
        <w:rFonts w:hint="eastAsia" w:ascii="黑体" w:hAnsi="黑体" w:eastAsia="黑体"/>
      </w:rPr>
    </w:lvl>
    <w:lvl w:ilvl="4" w:tentative="1">
      <w:start w:val="1"/>
      <w:numFmt w:val="lowerLetter"/>
      <w:lvlText w:val="%5)"/>
      <w:lvlJc w:val="left"/>
      <w:pPr>
        <w:ind w:left="42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4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42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420" w:hanging="420"/>
      </w:pPr>
      <w:rPr>
        <w:rFonts w:hint="eastAsia"/>
      </w:rPr>
    </w:lvl>
  </w:abstractNum>
  <w:abstractNum w:abstractNumId="778256119">
    <w:nsid w:val="2E633EF7"/>
    <w:multiLevelType w:val="multilevel"/>
    <w:tmpl w:val="2E633EF7"/>
    <w:lvl w:ilvl="0" w:tentative="1">
      <w:start w:val="1"/>
      <w:numFmt w:val="decimal"/>
      <w:lvlText w:val="B.%1"/>
      <w:lvlJc w:val="left"/>
      <w:pPr>
        <w:ind w:left="624" w:hanging="624"/>
      </w:pPr>
      <w:rPr>
        <w:rFonts w:hint="eastAsia" w:ascii="黑体" w:hAnsi="黑体" w:eastAsia="黑体"/>
      </w:rPr>
    </w:lvl>
    <w:lvl w:ilvl="1" w:tentative="1">
      <w:start w:val="1"/>
      <w:numFmt w:val="decimal"/>
      <w:lvlText w:val="B.%1.%2"/>
      <w:lvlJc w:val="left"/>
      <w:pPr>
        <w:ind w:left="1021" w:hanging="1021"/>
      </w:pPr>
      <w:rPr>
        <w:rFonts w:hint="eastAsia" w:ascii="黑体" w:hAnsi="黑体" w:eastAsia="黑体"/>
      </w:rPr>
    </w:lvl>
    <w:lvl w:ilvl="2" w:tentative="1">
      <w:start w:val="1"/>
      <w:numFmt w:val="decimal"/>
      <w:lvlText w:val="B.%1.%2.%3"/>
      <w:lvlJc w:val="left"/>
      <w:pPr>
        <w:ind w:left="1474" w:hanging="1474"/>
      </w:pPr>
      <w:rPr>
        <w:rFonts w:hint="eastAsia" w:ascii="黑体" w:hAnsi="黑体" w:eastAsia="黑体"/>
      </w:rPr>
    </w:lvl>
    <w:lvl w:ilvl="3" w:tentative="1">
      <w:start w:val="1"/>
      <w:numFmt w:val="decimal"/>
      <w:lvlText w:val="B.%1.%2.%3.%4"/>
      <w:lvlJc w:val="left"/>
      <w:pPr>
        <w:ind w:left="1758" w:hanging="1758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42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4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42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420" w:hanging="420"/>
      </w:pPr>
      <w:rPr>
        <w:rFonts w:hint="eastAsia"/>
      </w:rPr>
    </w:lvl>
  </w:abstractNum>
  <w:abstractNum w:abstractNumId="1827282981">
    <w:nsid w:val="6CEA2025"/>
    <w:multiLevelType w:val="multilevel"/>
    <w:tmpl w:val="6CEA2025"/>
    <w:lvl w:ilvl="0" w:tentative="1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1">
      <w:start w:val="1"/>
      <w:numFmt w:val="decimal"/>
      <w:pStyle w:val="78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1">
      <w:start w:val="1"/>
      <w:numFmt w:val="decimal"/>
      <w:pStyle w:val="60"/>
      <w:suff w:val="nothing"/>
      <w:lvlText w:val="%1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color w:val="auto"/>
        <w:sz w:val="21"/>
        <w:lang w:eastAsia="zh-CN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827282981"/>
  </w:num>
  <w:num w:numId="2">
    <w:abstractNumId w:val="534659698"/>
  </w:num>
  <w:num w:numId="3">
    <w:abstractNumId w:val="7782561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06F57"/>
    <w:rsid w:val="00004AAE"/>
    <w:rsid w:val="0001005E"/>
    <w:rsid w:val="00012AF2"/>
    <w:rsid w:val="000130B6"/>
    <w:rsid w:val="000351C6"/>
    <w:rsid w:val="00035F4E"/>
    <w:rsid w:val="0004013A"/>
    <w:rsid w:val="000417C2"/>
    <w:rsid w:val="00053BF7"/>
    <w:rsid w:val="000677B5"/>
    <w:rsid w:val="000930E3"/>
    <w:rsid w:val="000A1626"/>
    <w:rsid w:val="000A4B1E"/>
    <w:rsid w:val="000A745D"/>
    <w:rsid w:val="000B0A2C"/>
    <w:rsid w:val="000B2EDB"/>
    <w:rsid w:val="000B6FF6"/>
    <w:rsid w:val="000C40C6"/>
    <w:rsid w:val="000C57C8"/>
    <w:rsid w:val="000C79E6"/>
    <w:rsid w:val="000C7E4A"/>
    <w:rsid w:val="000C7EB4"/>
    <w:rsid w:val="000D6A15"/>
    <w:rsid w:val="000F063A"/>
    <w:rsid w:val="000F63B2"/>
    <w:rsid w:val="001049F2"/>
    <w:rsid w:val="00106DE8"/>
    <w:rsid w:val="00117111"/>
    <w:rsid w:val="00122683"/>
    <w:rsid w:val="0012772F"/>
    <w:rsid w:val="00130307"/>
    <w:rsid w:val="00133FEE"/>
    <w:rsid w:val="00141089"/>
    <w:rsid w:val="001413A8"/>
    <w:rsid w:val="00142514"/>
    <w:rsid w:val="001619E2"/>
    <w:rsid w:val="00161B08"/>
    <w:rsid w:val="00166F6E"/>
    <w:rsid w:val="001714D8"/>
    <w:rsid w:val="00177D0B"/>
    <w:rsid w:val="00180294"/>
    <w:rsid w:val="0018346B"/>
    <w:rsid w:val="001848FF"/>
    <w:rsid w:val="0019116F"/>
    <w:rsid w:val="001955A1"/>
    <w:rsid w:val="00197B32"/>
    <w:rsid w:val="001B1209"/>
    <w:rsid w:val="001B413F"/>
    <w:rsid w:val="001D1174"/>
    <w:rsid w:val="001D2C95"/>
    <w:rsid w:val="001D3FB0"/>
    <w:rsid w:val="001D51E7"/>
    <w:rsid w:val="001F08AF"/>
    <w:rsid w:val="00203B40"/>
    <w:rsid w:val="00206E6D"/>
    <w:rsid w:val="00214BDB"/>
    <w:rsid w:val="00222A53"/>
    <w:rsid w:val="00226E7D"/>
    <w:rsid w:val="0023066A"/>
    <w:rsid w:val="00237FFC"/>
    <w:rsid w:val="002414BD"/>
    <w:rsid w:val="00245AE1"/>
    <w:rsid w:val="00247351"/>
    <w:rsid w:val="00250175"/>
    <w:rsid w:val="00251B44"/>
    <w:rsid w:val="00266306"/>
    <w:rsid w:val="00266829"/>
    <w:rsid w:val="002722CE"/>
    <w:rsid w:val="00285A9B"/>
    <w:rsid w:val="002A0823"/>
    <w:rsid w:val="002A4C2E"/>
    <w:rsid w:val="002C7167"/>
    <w:rsid w:val="002D00AE"/>
    <w:rsid w:val="002F1C2B"/>
    <w:rsid w:val="002F665B"/>
    <w:rsid w:val="003011AF"/>
    <w:rsid w:val="00303703"/>
    <w:rsid w:val="003126E5"/>
    <w:rsid w:val="00313DD7"/>
    <w:rsid w:val="003161D1"/>
    <w:rsid w:val="00327D41"/>
    <w:rsid w:val="00334647"/>
    <w:rsid w:val="0034489A"/>
    <w:rsid w:val="0034628E"/>
    <w:rsid w:val="003707B8"/>
    <w:rsid w:val="003854F7"/>
    <w:rsid w:val="003865EA"/>
    <w:rsid w:val="00395B91"/>
    <w:rsid w:val="003963FA"/>
    <w:rsid w:val="003B15FB"/>
    <w:rsid w:val="003B2FE1"/>
    <w:rsid w:val="003B58AF"/>
    <w:rsid w:val="003C54CC"/>
    <w:rsid w:val="003F0103"/>
    <w:rsid w:val="00401710"/>
    <w:rsid w:val="00412BF7"/>
    <w:rsid w:val="00415625"/>
    <w:rsid w:val="00416ADE"/>
    <w:rsid w:val="00440E80"/>
    <w:rsid w:val="00442A74"/>
    <w:rsid w:val="00446A47"/>
    <w:rsid w:val="00447CCF"/>
    <w:rsid w:val="00455E4E"/>
    <w:rsid w:val="00456067"/>
    <w:rsid w:val="004568F9"/>
    <w:rsid w:val="00464F77"/>
    <w:rsid w:val="004853CB"/>
    <w:rsid w:val="00492941"/>
    <w:rsid w:val="004A2DA2"/>
    <w:rsid w:val="004A757A"/>
    <w:rsid w:val="004B59A4"/>
    <w:rsid w:val="004B5C77"/>
    <w:rsid w:val="004D0D4A"/>
    <w:rsid w:val="004D1E77"/>
    <w:rsid w:val="004F480F"/>
    <w:rsid w:val="004F7CA4"/>
    <w:rsid w:val="00513CD4"/>
    <w:rsid w:val="00522D1F"/>
    <w:rsid w:val="005278F6"/>
    <w:rsid w:val="00537157"/>
    <w:rsid w:val="0055142E"/>
    <w:rsid w:val="00591CC2"/>
    <w:rsid w:val="00592CEE"/>
    <w:rsid w:val="0059572F"/>
    <w:rsid w:val="005A68C1"/>
    <w:rsid w:val="005B6F67"/>
    <w:rsid w:val="005C0185"/>
    <w:rsid w:val="005C41D6"/>
    <w:rsid w:val="005D5577"/>
    <w:rsid w:val="005D7967"/>
    <w:rsid w:val="005E5C91"/>
    <w:rsid w:val="0060104B"/>
    <w:rsid w:val="0060503D"/>
    <w:rsid w:val="00613FDA"/>
    <w:rsid w:val="0061640F"/>
    <w:rsid w:val="00623CE1"/>
    <w:rsid w:val="006307A1"/>
    <w:rsid w:val="006316A7"/>
    <w:rsid w:val="00631A3F"/>
    <w:rsid w:val="00632FD8"/>
    <w:rsid w:val="0063357B"/>
    <w:rsid w:val="006350AC"/>
    <w:rsid w:val="0064100F"/>
    <w:rsid w:val="00642F72"/>
    <w:rsid w:val="00647E07"/>
    <w:rsid w:val="00657609"/>
    <w:rsid w:val="00661E2B"/>
    <w:rsid w:val="00664576"/>
    <w:rsid w:val="006743BD"/>
    <w:rsid w:val="006959A0"/>
    <w:rsid w:val="00695D61"/>
    <w:rsid w:val="006A5694"/>
    <w:rsid w:val="006B610F"/>
    <w:rsid w:val="006C08AE"/>
    <w:rsid w:val="006C1344"/>
    <w:rsid w:val="006D4167"/>
    <w:rsid w:val="006D7F0B"/>
    <w:rsid w:val="006F1D5A"/>
    <w:rsid w:val="00705A44"/>
    <w:rsid w:val="00713988"/>
    <w:rsid w:val="00717CE0"/>
    <w:rsid w:val="00720607"/>
    <w:rsid w:val="007220FD"/>
    <w:rsid w:val="00727985"/>
    <w:rsid w:val="007443C1"/>
    <w:rsid w:val="00746EC2"/>
    <w:rsid w:val="00747C43"/>
    <w:rsid w:val="0075621B"/>
    <w:rsid w:val="00774178"/>
    <w:rsid w:val="0078461F"/>
    <w:rsid w:val="00792DA5"/>
    <w:rsid w:val="007A2773"/>
    <w:rsid w:val="007A3AA8"/>
    <w:rsid w:val="007A7244"/>
    <w:rsid w:val="007A7781"/>
    <w:rsid w:val="007B017E"/>
    <w:rsid w:val="007B467E"/>
    <w:rsid w:val="007B4AE9"/>
    <w:rsid w:val="007C10FD"/>
    <w:rsid w:val="007C138A"/>
    <w:rsid w:val="007C13EA"/>
    <w:rsid w:val="007F0E17"/>
    <w:rsid w:val="007F17DF"/>
    <w:rsid w:val="007F5DDC"/>
    <w:rsid w:val="00802201"/>
    <w:rsid w:val="0081193B"/>
    <w:rsid w:val="0081383C"/>
    <w:rsid w:val="00813A36"/>
    <w:rsid w:val="00817C42"/>
    <w:rsid w:val="008209BB"/>
    <w:rsid w:val="0082404F"/>
    <w:rsid w:val="00837DC5"/>
    <w:rsid w:val="00850E30"/>
    <w:rsid w:val="00855053"/>
    <w:rsid w:val="00884668"/>
    <w:rsid w:val="008A49B7"/>
    <w:rsid w:val="008B2AA7"/>
    <w:rsid w:val="008C0D98"/>
    <w:rsid w:val="008C3BD4"/>
    <w:rsid w:val="008C714E"/>
    <w:rsid w:val="008D013F"/>
    <w:rsid w:val="008D1302"/>
    <w:rsid w:val="009002AA"/>
    <w:rsid w:val="009015F7"/>
    <w:rsid w:val="00906F57"/>
    <w:rsid w:val="0092386A"/>
    <w:rsid w:val="00935CAA"/>
    <w:rsid w:val="00936C63"/>
    <w:rsid w:val="00942434"/>
    <w:rsid w:val="00946A3B"/>
    <w:rsid w:val="00946D42"/>
    <w:rsid w:val="009516D4"/>
    <w:rsid w:val="0095197C"/>
    <w:rsid w:val="00962BE1"/>
    <w:rsid w:val="00965870"/>
    <w:rsid w:val="0099092B"/>
    <w:rsid w:val="00991EDC"/>
    <w:rsid w:val="0099360A"/>
    <w:rsid w:val="009A6267"/>
    <w:rsid w:val="009B2224"/>
    <w:rsid w:val="009B3255"/>
    <w:rsid w:val="009B4BEA"/>
    <w:rsid w:val="009B60D4"/>
    <w:rsid w:val="009C7AEF"/>
    <w:rsid w:val="009F6408"/>
    <w:rsid w:val="00A012DB"/>
    <w:rsid w:val="00A01B68"/>
    <w:rsid w:val="00A02D23"/>
    <w:rsid w:val="00A11049"/>
    <w:rsid w:val="00A1120E"/>
    <w:rsid w:val="00A33BED"/>
    <w:rsid w:val="00A41020"/>
    <w:rsid w:val="00A41F07"/>
    <w:rsid w:val="00A42E7C"/>
    <w:rsid w:val="00A65F4D"/>
    <w:rsid w:val="00A671AC"/>
    <w:rsid w:val="00A72328"/>
    <w:rsid w:val="00A74CD3"/>
    <w:rsid w:val="00A750AE"/>
    <w:rsid w:val="00A871EC"/>
    <w:rsid w:val="00A8795A"/>
    <w:rsid w:val="00AA4850"/>
    <w:rsid w:val="00AA4F39"/>
    <w:rsid w:val="00AB1156"/>
    <w:rsid w:val="00AC04D1"/>
    <w:rsid w:val="00AC568A"/>
    <w:rsid w:val="00AE06B9"/>
    <w:rsid w:val="00AE0740"/>
    <w:rsid w:val="00AE343B"/>
    <w:rsid w:val="00AE3938"/>
    <w:rsid w:val="00AE48C9"/>
    <w:rsid w:val="00AF0790"/>
    <w:rsid w:val="00AF28B9"/>
    <w:rsid w:val="00B20925"/>
    <w:rsid w:val="00B33C07"/>
    <w:rsid w:val="00B47EE0"/>
    <w:rsid w:val="00B61456"/>
    <w:rsid w:val="00B6317B"/>
    <w:rsid w:val="00B639F4"/>
    <w:rsid w:val="00B7137C"/>
    <w:rsid w:val="00B72DE8"/>
    <w:rsid w:val="00B80524"/>
    <w:rsid w:val="00B8262E"/>
    <w:rsid w:val="00B82F7D"/>
    <w:rsid w:val="00B9001A"/>
    <w:rsid w:val="00B95928"/>
    <w:rsid w:val="00BA45EB"/>
    <w:rsid w:val="00BB2604"/>
    <w:rsid w:val="00BD24FA"/>
    <w:rsid w:val="00BD681F"/>
    <w:rsid w:val="00BF3C6F"/>
    <w:rsid w:val="00BF3F1A"/>
    <w:rsid w:val="00C11462"/>
    <w:rsid w:val="00C157CB"/>
    <w:rsid w:val="00C15BF0"/>
    <w:rsid w:val="00C17FB0"/>
    <w:rsid w:val="00C21AF1"/>
    <w:rsid w:val="00C304DF"/>
    <w:rsid w:val="00C32214"/>
    <w:rsid w:val="00C3577E"/>
    <w:rsid w:val="00C36AD8"/>
    <w:rsid w:val="00C4572E"/>
    <w:rsid w:val="00C47B0E"/>
    <w:rsid w:val="00C578F4"/>
    <w:rsid w:val="00C60983"/>
    <w:rsid w:val="00C7068C"/>
    <w:rsid w:val="00C70787"/>
    <w:rsid w:val="00C82E0C"/>
    <w:rsid w:val="00C84F61"/>
    <w:rsid w:val="00C85858"/>
    <w:rsid w:val="00C87D1B"/>
    <w:rsid w:val="00C91AAB"/>
    <w:rsid w:val="00CA55EB"/>
    <w:rsid w:val="00CB49A6"/>
    <w:rsid w:val="00CC3968"/>
    <w:rsid w:val="00CC4949"/>
    <w:rsid w:val="00CE049B"/>
    <w:rsid w:val="00CE1AD3"/>
    <w:rsid w:val="00CE2FEB"/>
    <w:rsid w:val="00CF4896"/>
    <w:rsid w:val="00D0173A"/>
    <w:rsid w:val="00D05126"/>
    <w:rsid w:val="00D316DB"/>
    <w:rsid w:val="00D32771"/>
    <w:rsid w:val="00D34838"/>
    <w:rsid w:val="00D348AF"/>
    <w:rsid w:val="00D35BAA"/>
    <w:rsid w:val="00D441BF"/>
    <w:rsid w:val="00D448AE"/>
    <w:rsid w:val="00D4695C"/>
    <w:rsid w:val="00D51560"/>
    <w:rsid w:val="00D5203D"/>
    <w:rsid w:val="00D553C6"/>
    <w:rsid w:val="00D64A70"/>
    <w:rsid w:val="00D83440"/>
    <w:rsid w:val="00D85F8F"/>
    <w:rsid w:val="00D93657"/>
    <w:rsid w:val="00D96EBD"/>
    <w:rsid w:val="00DA1148"/>
    <w:rsid w:val="00DC375B"/>
    <w:rsid w:val="00DD5ADC"/>
    <w:rsid w:val="00DE2925"/>
    <w:rsid w:val="00DE2EE8"/>
    <w:rsid w:val="00DF784E"/>
    <w:rsid w:val="00DF7EE1"/>
    <w:rsid w:val="00E01839"/>
    <w:rsid w:val="00E02046"/>
    <w:rsid w:val="00E0271D"/>
    <w:rsid w:val="00E041B9"/>
    <w:rsid w:val="00E2595D"/>
    <w:rsid w:val="00E438E1"/>
    <w:rsid w:val="00E6558D"/>
    <w:rsid w:val="00E73B58"/>
    <w:rsid w:val="00EA42AF"/>
    <w:rsid w:val="00EA60BE"/>
    <w:rsid w:val="00EB19C5"/>
    <w:rsid w:val="00EC0E9F"/>
    <w:rsid w:val="00EC25B6"/>
    <w:rsid w:val="00EC6F1A"/>
    <w:rsid w:val="00ED11DA"/>
    <w:rsid w:val="00EE6492"/>
    <w:rsid w:val="00EF403D"/>
    <w:rsid w:val="00F10339"/>
    <w:rsid w:val="00F147E6"/>
    <w:rsid w:val="00F21593"/>
    <w:rsid w:val="00F33A92"/>
    <w:rsid w:val="00F35F90"/>
    <w:rsid w:val="00F40B11"/>
    <w:rsid w:val="00F4103E"/>
    <w:rsid w:val="00F43B02"/>
    <w:rsid w:val="00F57B1C"/>
    <w:rsid w:val="00F61061"/>
    <w:rsid w:val="00F627DF"/>
    <w:rsid w:val="00F67D22"/>
    <w:rsid w:val="00F71361"/>
    <w:rsid w:val="00F7730A"/>
    <w:rsid w:val="00F818C3"/>
    <w:rsid w:val="00F864EF"/>
    <w:rsid w:val="00F932BB"/>
    <w:rsid w:val="00FA6CF6"/>
    <w:rsid w:val="00FB5252"/>
    <w:rsid w:val="00FC4097"/>
    <w:rsid w:val="00FC43FC"/>
    <w:rsid w:val="00FD5ADC"/>
    <w:rsid w:val="00FE14AF"/>
    <w:rsid w:val="00FE2719"/>
    <w:rsid w:val="0354236B"/>
    <w:rsid w:val="077048EF"/>
    <w:rsid w:val="0D3311DF"/>
    <w:rsid w:val="0EFF09AB"/>
    <w:rsid w:val="0FC85A66"/>
    <w:rsid w:val="18B9619D"/>
    <w:rsid w:val="29D374B3"/>
    <w:rsid w:val="29E5304B"/>
    <w:rsid w:val="38401F16"/>
    <w:rsid w:val="43A83AAA"/>
    <w:rsid w:val="5A4E2329"/>
    <w:rsid w:val="5A73166D"/>
    <w:rsid w:val="5C7C088B"/>
    <w:rsid w:val="60FD37E3"/>
    <w:rsid w:val="6A832B9F"/>
    <w:rsid w:val="791938D9"/>
    <w:rsid w:val="7A803661"/>
    <w:rsid w:val="7B9C56A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60"/>
        <w:tab w:val="left" w:pos="9215"/>
      </w:tabs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8">
    <w:name w:val="Default Paragraph Font"/>
    <w:unhideWhenUsed/>
    <w:uiPriority w:val="1"/>
  </w:style>
  <w:style w:type="table" w:default="1" w:styleId="41">
    <w:name w:val="Normal Table"/>
    <w:unhideWhenUsed/>
    <w:qFormat/>
    <w:uiPriority w:val="99"/>
    <w:tblPr>
      <w:tblStyle w:val="4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toc 7"/>
    <w:basedOn w:val="12"/>
    <w:next w:val="1"/>
    <w:semiHidden/>
    <w:qFormat/>
    <w:uiPriority w:val="0"/>
    <w:pPr>
      <w:tabs>
        <w:tab w:val="left" w:pos="360"/>
        <w:tab w:val="left" w:pos="9215"/>
      </w:tabs>
    </w:pPr>
  </w:style>
  <w:style w:type="paragraph" w:styleId="12">
    <w:name w:val="toc 6"/>
    <w:basedOn w:val="13"/>
    <w:next w:val="1"/>
    <w:semiHidden/>
    <w:qFormat/>
    <w:uiPriority w:val="0"/>
    <w:pPr>
      <w:tabs>
        <w:tab w:val="left" w:pos="360"/>
        <w:tab w:val="left" w:pos="9215"/>
      </w:tabs>
    </w:pPr>
  </w:style>
  <w:style w:type="paragraph" w:styleId="13">
    <w:name w:val="toc 5"/>
    <w:basedOn w:val="14"/>
    <w:next w:val="1"/>
    <w:semiHidden/>
    <w:qFormat/>
    <w:uiPriority w:val="0"/>
    <w:pPr>
      <w:tabs>
        <w:tab w:val="left" w:pos="360"/>
        <w:tab w:val="left" w:pos="9215"/>
      </w:tabs>
    </w:pPr>
  </w:style>
  <w:style w:type="paragraph" w:styleId="14">
    <w:name w:val="toc 4"/>
    <w:basedOn w:val="15"/>
    <w:next w:val="1"/>
    <w:semiHidden/>
    <w:qFormat/>
    <w:uiPriority w:val="0"/>
    <w:pPr>
      <w:tabs>
        <w:tab w:val="left" w:pos="360"/>
        <w:tab w:val="left" w:pos="9215"/>
      </w:tabs>
    </w:pPr>
  </w:style>
  <w:style w:type="paragraph" w:styleId="15">
    <w:name w:val="toc 3"/>
    <w:basedOn w:val="16"/>
    <w:next w:val="1"/>
    <w:semiHidden/>
    <w:qFormat/>
    <w:uiPriority w:val="0"/>
    <w:pPr>
      <w:tabs>
        <w:tab w:val="left" w:pos="360"/>
        <w:tab w:val="left" w:pos="9215"/>
      </w:tabs>
    </w:pPr>
  </w:style>
  <w:style w:type="paragraph" w:styleId="16">
    <w:name w:val="toc 2"/>
    <w:basedOn w:val="17"/>
    <w:next w:val="1"/>
    <w:semiHidden/>
    <w:qFormat/>
    <w:uiPriority w:val="0"/>
    <w:pPr>
      <w:tabs>
        <w:tab w:val="left" w:pos="360"/>
        <w:tab w:val="left" w:pos="9215"/>
      </w:tabs>
    </w:pPr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qFormat/>
    <w:uiPriority w:val="0"/>
    <w:pPr>
      <w:jc w:val="left"/>
    </w:pPr>
  </w:style>
  <w:style w:type="paragraph" w:styleId="19">
    <w:name w:val="HTML Address"/>
    <w:basedOn w:val="1"/>
    <w:qFormat/>
    <w:uiPriority w:val="0"/>
    <w:rPr>
      <w:i/>
      <w:iCs/>
    </w:rPr>
  </w:style>
  <w:style w:type="paragraph" w:styleId="20">
    <w:name w:val="toc 8"/>
    <w:basedOn w:val="11"/>
    <w:next w:val="1"/>
    <w:semiHidden/>
    <w:qFormat/>
    <w:uiPriority w:val="0"/>
  </w:style>
  <w:style w:type="paragraph" w:styleId="21">
    <w:name w:val="Balloon Text"/>
    <w:basedOn w:val="1"/>
    <w:link w:val="102"/>
    <w:qFormat/>
    <w:uiPriority w:val="0"/>
    <w:rPr>
      <w:sz w:val="18"/>
      <w:szCs w:val="18"/>
    </w:rPr>
  </w:style>
  <w:style w:type="paragraph" w:styleId="22">
    <w:name w:val="footer"/>
    <w:basedOn w:val="1"/>
    <w:link w:val="105"/>
    <w:qFormat/>
    <w:uiPriority w:val="99"/>
    <w:pPr>
      <w:tabs>
        <w:tab w:val="center" w:pos="4153"/>
        <w:tab w:val="right" w:pos="8306"/>
        <w:tab w:val="clear" w:pos="360"/>
        <w:tab w:val="clear" w:pos="9215"/>
      </w:tabs>
      <w:snapToGrid w:val="0"/>
      <w:ind w:right="210" w:rightChars="100"/>
      <w:jc w:val="right"/>
    </w:pPr>
    <w:rPr>
      <w:sz w:val="18"/>
      <w:szCs w:val="18"/>
    </w:rPr>
  </w:style>
  <w:style w:type="paragraph" w:styleId="2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360"/>
        <w:tab w:val="clear" w:pos="9215"/>
      </w:tabs>
      <w:snapToGrid w:val="0"/>
      <w:jc w:val="center"/>
    </w:pPr>
    <w:rPr>
      <w:sz w:val="18"/>
      <w:szCs w:val="18"/>
    </w:rPr>
  </w:style>
  <w:style w:type="paragraph" w:styleId="2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5">
    <w:name w:val="toc 9"/>
    <w:basedOn w:val="20"/>
    <w:next w:val="1"/>
    <w:semiHidden/>
    <w:qFormat/>
    <w:uiPriority w:val="0"/>
  </w:style>
  <w:style w:type="paragraph" w:styleId="26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29">
    <w:name w:val="page number"/>
    <w:basedOn w:val="28"/>
    <w:qFormat/>
    <w:uiPriority w:val="0"/>
    <w:rPr>
      <w:rFonts w:ascii="Times New Roman" w:hAnsi="Times New Roman" w:eastAsia="宋体"/>
      <w:sz w:val="18"/>
    </w:rPr>
  </w:style>
  <w:style w:type="character" w:styleId="30">
    <w:name w:val="HTML Definition"/>
    <w:basedOn w:val="28"/>
    <w:qFormat/>
    <w:uiPriority w:val="0"/>
    <w:rPr>
      <w:i/>
      <w:iCs/>
    </w:rPr>
  </w:style>
  <w:style w:type="character" w:styleId="31">
    <w:name w:val="HTML Typewriter"/>
    <w:basedOn w:val="28"/>
    <w:qFormat/>
    <w:uiPriority w:val="0"/>
    <w:rPr>
      <w:rFonts w:ascii="Courier New" w:hAnsi="Courier New"/>
      <w:sz w:val="20"/>
      <w:szCs w:val="20"/>
    </w:rPr>
  </w:style>
  <w:style w:type="character" w:styleId="32">
    <w:name w:val="HTML Acronym"/>
    <w:basedOn w:val="28"/>
    <w:qFormat/>
    <w:uiPriority w:val="0"/>
    <w:rPr/>
  </w:style>
  <w:style w:type="character" w:styleId="33">
    <w:name w:val="HTML Variable"/>
    <w:basedOn w:val="28"/>
    <w:qFormat/>
    <w:uiPriority w:val="0"/>
    <w:rPr>
      <w:i/>
      <w:iCs/>
    </w:rPr>
  </w:style>
  <w:style w:type="character" w:styleId="34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</w:rPr>
  </w:style>
  <w:style w:type="character" w:styleId="35">
    <w:name w:val="HTML Code"/>
    <w:basedOn w:val="28"/>
    <w:qFormat/>
    <w:uiPriority w:val="0"/>
    <w:rPr>
      <w:rFonts w:ascii="Courier New" w:hAnsi="Courier New"/>
      <w:sz w:val="20"/>
      <w:szCs w:val="20"/>
    </w:rPr>
  </w:style>
  <w:style w:type="character" w:styleId="36">
    <w:name w:val="annotation reference"/>
    <w:basedOn w:val="28"/>
    <w:qFormat/>
    <w:uiPriority w:val="0"/>
    <w:rPr>
      <w:sz w:val="21"/>
      <w:szCs w:val="21"/>
    </w:rPr>
  </w:style>
  <w:style w:type="character" w:styleId="37">
    <w:name w:val="HTML Cite"/>
    <w:basedOn w:val="28"/>
    <w:qFormat/>
    <w:uiPriority w:val="0"/>
    <w:rPr>
      <w:i/>
      <w:iCs/>
    </w:rPr>
  </w:style>
  <w:style w:type="character" w:styleId="38">
    <w:name w:val="footnote reference"/>
    <w:basedOn w:val="28"/>
    <w:semiHidden/>
    <w:qFormat/>
    <w:uiPriority w:val="0"/>
    <w:rPr>
      <w:vertAlign w:val="superscript"/>
    </w:rPr>
  </w:style>
  <w:style w:type="character" w:styleId="39">
    <w:name w:val="HTML Keyboard"/>
    <w:basedOn w:val="28"/>
    <w:qFormat/>
    <w:uiPriority w:val="0"/>
    <w:rPr>
      <w:rFonts w:ascii="Courier New" w:hAnsi="Courier New"/>
      <w:sz w:val="20"/>
      <w:szCs w:val="20"/>
    </w:rPr>
  </w:style>
  <w:style w:type="character" w:styleId="40">
    <w:name w:val="HTML Sample"/>
    <w:basedOn w:val="28"/>
    <w:qFormat/>
    <w:uiPriority w:val="0"/>
    <w:rPr>
      <w:rFonts w:ascii="Courier New" w:hAnsi="Courier New"/>
    </w:rPr>
  </w:style>
  <w:style w:type="table" w:styleId="42">
    <w:name w:val="Table Grid"/>
    <w:basedOn w:val="41"/>
    <w:qFormat/>
    <w:uiPriority w:val="0"/>
    <w:pPr>
      <w:widowControl w:val="0"/>
      <w:tabs>
        <w:tab w:val="left" w:pos="360"/>
        <w:tab w:val="left" w:pos="9215"/>
      </w:tabs>
      <w:jc w:val="both"/>
    </w:pPr>
    <w:tblPr>
      <w:tblStyle w:val="4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">
    <w:name w:val="附录一级条标题"/>
    <w:basedOn w:val="45"/>
    <w:next w:val="46"/>
    <w:qFormat/>
    <w:uiPriority w:val="0"/>
    <w:pPr>
      <w:tabs>
        <w:tab w:val="left" w:pos="360"/>
      </w:tabs>
      <w:autoSpaceDN w:val="0"/>
      <w:spacing w:beforeLines="0" w:afterLines="0"/>
      <w:outlineLvl w:val="2"/>
    </w:pPr>
  </w:style>
  <w:style w:type="paragraph" w:customStyle="1" w:styleId="45">
    <w:name w:val="附录章标题"/>
    <w:next w:val="46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8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0">
    <w:name w:val="其他发布部门"/>
    <w:basedOn w:val="51"/>
    <w:qFormat/>
    <w:uiPriority w:val="0"/>
    <w:pPr>
      <w:framePr/>
      <w:tabs>
        <w:tab w:val="left" w:pos="360"/>
        <w:tab w:val="left" w:pos="9215"/>
      </w:tabs>
      <w:spacing w:line="0" w:lineRule="atLeast"/>
    </w:pPr>
    <w:rPr>
      <w:rFonts w:ascii="黑体" w:eastAsia="黑体"/>
      <w:b w:val="0"/>
    </w:rPr>
  </w:style>
  <w:style w:type="paragraph" w:customStyle="1" w:styleId="51">
    <w:name w:val="发布部门"/>
    <w:next w:val="46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52">
    <w:name w:val="附录标识"/>
    <w:basedOn w:val="53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53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4">
    <w:name w:val="目次、标准名称标题"/>
    <w:basedOn w:val="53"/>
    <w:next w:val="46"/>
    <w:qFormat/>
    <w:uiPriority w:val="0"/>
    <w:pPr>
      <w:spacing w:line="460" w:lineRule="exact"/>
    </w:pPr>
  </w:style>
  <w:style w:type="paragraph" w:customStyle="1" w:styleId="55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56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57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8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59">
    <w:name w:val="二级条标题"/>
    <w:basedOn w:val="60"/>
    <w:next w:val="46"/>
    <w:qFormat/>
    <w:uiPriority w:val="0"/>
    <w:pPr>
      <w:numPr>
        <w:ilvl w:val="2"/>
        <w:numId w:val="0"/>
      </w:numPr>
      <w:tabs>
        <w:tab w:val="left" w:pos="360"/>
        <w:tab w:val="left" w:pos="9215"/>
      </w:tabs>
      <w:outlineLvl w:val="3"/>
    </w:pPr>
  </w:style>
  <w:style w:type="paragraph" w:customStyle="1" w:styleId="60">
    <w:name w:val="一级条标题"/>
    <w:next w:val="46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61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2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63">
    <w:name w:val="封面标准代替信息"/>
    <w:basedOn w:val="64"/>
    <w:qFormat/>
    <w:uiPriority w:val="0"/>
    <w:pPr>
      <w:framePr/>
      <w:tabs>
        <w:tab w:val="left" w:pos="360"/>
        <w:tab w:val="left" w:pos="9215"/>
      </w:tabs>
      <w:spacing w:before="57"/>
    </w:pPr>
    <w:rPr>
      <w:rFonts w:ascii="宋体"/>
      <w:sz w:val="21"/>
    </w:rPr>
  </w:style>
  <w:style w:type="paragraph" w:customStyle="1" w:styleId="64">
    <w:name w:val="封面标准号2"/>
    <w:basedOn w:val="65"/>
    <w:qFormat/>
    <w:uiPriority w:val="0"/>
    <w:pPr>
      <w:framePr w:w="9138" w:h="1244" w:hRule="exact" w:wrap="around" w:vAnchor="page" w:hAnchor="margin" w:y="2908"/>
      <w:tabs>
        <w:tab w:val="left" w:pos="360"/>
        <w:tab w:val="left" w:pos="9215"/>
      </w:tabs>
      <w:adjustRightInd w:val="0"/>
      <w:spacing w:before="357" w:line="280" w:lineRule="exact"/>
    </w:pPr>
  </w:style>
  <w:style w:type="paragraph" w:customStyle="1" w:styleId="6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6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7">
    <w:name w:val="图表脚注"/>
    <w:next w:val="46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8">
    <w:name w:val="附录三级条标题"/>
    <w:basedOn w:val="69"/>
    <w:next w:val="46"/>
    <w:qFormat/>
    <w:uiPriority w:val="0"/>
    <w:pPr>
      <w:tabs>
        <w:tab w:val="left" w:pos="360"/>
        <w:tab w:val="left" w:pos="9215"/>
      </w:tabs>
      <w:outlineLvl w:val="4"/>
    </w:pPr>
  </w:style>
  <w:style w:type="paragraph" w:customStyle="1" w:styleId="69">
    <w:name w:val="附录二级条标题"/>
    <w:basedOn w:val="44"/>
    <w:next w:val="46"/>
    <w:qFormat/>
    <w:uiPriority w:val="0"/>
    <w:pPr>
      <w:outlineLvl w:val="3"/>
    </w:pPr>
  </w:style>
  <w:style w:type="paragraph" w:customStyle="1" w:styleId="70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1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参考文献、索引标题"/>
    <w:basedOn w:val="53"/>
    <w:next w:val="1"/>
    <w:qFormat/>
    <w:uiPriority w:val="0"/>
    <w:pPr>
      <w:spacing w:after="200"/>
    </w:pPr>
    <w:rPr>
      <w:sz w:val="21"/>
    </w:rPr>
  </w:style>
  <w:style w:type="paragraph" w:customStyle="1" w:styleId="74">
    <w:name w:val="附录四级条标题"/>
    <w:basedOn w:val="68"/>
    <w:next w:val="46"/>
    <w:qFormat/>
    <w:uiPriority w:val="0"/>
    <w:pPr>
      <w:outlineLvl w:val="5"/>
    </w:pPr>
  </w:style>
  <w:style w:type="paragraph" w:customStyle="1" w:styleId="75">
    <w:name w:val="标准书眉_偶数页"/>
    <w:basedOn w:val="71"/>
    <w:next w:val="1"/>
    <w:qFormat/>
    <w:uiPriority w:val="0"/>
    <w:pPr>
      <w:jc w:val="left"/>
    </w:pPr>
  </w:style>
  <w:style w:type="paragraph" w:customStyle="1" w:styleId="76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">
    <w:name w:val="附录图标题"/>
    <w:next w:val="46"/>
    <w:qFormat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章标题"/>
    <w:next w:val="46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0">
    <w:name w:val="条文脚注"/>
    <w:basedOn w:val="24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81">
    <w:name w:val="附录表标题"/>
    <w:next w:val="46"/>
    <w:qFormat/>
    <w:uiPriority w:val="0"/>
    <w:pPr>
      <w:tabs>
        <w:tab w:val="left" w:pos="360"/>
      </w:tabs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2">
    <w:name w:val="正文图标题"/>
    <w:next w:val="46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3">
    <w:name w:val="附录五级条标题"/>
    <w:basedOn w:val="74"/>
    <w:next w:val="46"/>
    <w:qFormat/>
    <w:uiPriority w:val="0"/>
    <w:pPr>
      <w:outlineLvl w:val="6"/>
    </w:pPr>
  </w:style>
  <w:style w:type="paragraph" w:customStyle="1" w:styleId="84">
    <w:name w:val="列项——（一级）"/>
    <w:qFormat/>
    <w:uiPriority w:val="0"/>
    <w:pPr>
      <w:widowControl w:val="0"/>
      <w:tabs>
        <w:tab w:val="left" w:pos="3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五级条标题"/>
    <w:basedOn w:val="86"/>
    <w:next w:val="46"/>
    <w:qFormat/>
    <w:uiPriority w:val="0"/>
    <w:pPr>
      <w:tabs>
        <w:tab w:val="left" w:pos="360"/>
        <w:tab w:val="left" w:pos="9215"/>
      </w:tabs>
      <w:outlineLvl w:val="6"/>
    </w:pPr>
  </w:style>
  <w:style w:type="paragraph" w:customStyle="1" w:styleId="86">
    <w:name w:val="四级条标题"/>
    <w:basedOn w:val="87"/>
    <w:next w:val="46"/>
    <w:qFormat/>
    <w:uiPriority w:val="0"/>
    <w:pPr>
      <w:tabs>
        <w:tab w:val="left" w:pos="360"/>
      </w:tabs>
      <w:outlineLvl w:val="5"/>
    </w:pPr>
  </w:style>
  <w:style w:type="paragraph" w:customStyle="1" w:styleId="87">
    <w:name w:val="三级条标题"/>
    <w:basedOn w:val="59"/>
    <w:next w:val="46"/>
    <w:qFormat/>
    <w:uiPriority w:val="0"/>
    <w:pPr>
      <w:outlineLvl w:val="4"/>
    </w:pPr>
  </w:style>
  <w:style w:type="paragraph" w:customStyle="1" w:styleId="88">
    <w:name w:val="列项●（二级）"/>
    <w:qFormat/>
    <w:uiPriority w:val="0"/>
    <w:pPr>
      <w:tabs>
        <w:tab w:val="left" w:pos="360"/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0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1">
    <w:name w:val="实施日期"/>
    <w:basedOn w:val="66"/>
    <w:qFormat/>
    <w:uiPriority w:val="0"/>
    <w:pPr>
      <w:framePr w:wrap="around" w:vAnchor="margin" w:hAnchor="text" w:xAlign="right" w:y="1"/>
      <w:jc w:val="right"/>
    </w:pPr>
  </w:style>
  <w:style w:type="paragraph" w:customStyle="1" w:styleId="92">
    <w:name w:val="示例"/>
    <w:next w:val="46"/>
    <w:qFormat/>
    <w:uiPriority w:val="0"/>
    <w:pPr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3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4">
    <w:name w:val="正文表标题"/>
    <w:next w:val="46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5">
    <w:name w:val="注："/>
    <w:next w:val="46"/>
    <w:qFormat/>
    <w:uiPriority w:val="0"/>
    <w:pPr>
      <w:widowControl w:val="0"/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6">
    <w:name w:val="注×："/>
    <w:qFormat/>
    <w:uiPriority w:val="0"/>
    <w:pPr>
      <w:widowControl w:val="0"/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8">
    <w:name w:val="列项◆（三级）"/>
    <w:qFormat/>
    <w:uiPriority w:val="0"/>
    <w:pPr>
      <w:tabs>
        <w:tab w:val="left" w:pos="36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9">
    <w:name w:val="二级无"/>
    <w:basedOn w:val="59"/>
    <w:qFormat/>
    <w:uiPriority w:val="0"/>
    <w:rPr>
      <w:rFonts w:ascii="宋体" w:eastAsia="宋体"/>
    </w:rPr>
  </w:style>
  <w:style w:type="paragraph" w:customStyle="1" w:styleId="1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1">
    <w:name w:val="发布"/>
    <w:basedOn w:val="28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102">
    <w:name w:val="批注框文本 Char"/>
    <w:basedOn w:val="28"/>
    <w:link w:val="21"/>
    <w:qFormat/>
    <w:uiPriority w:val="0"/>
    <w:rPr>
      <w:kern w:val="2"/>
      <w:sz w:val="18"/>
      <w:szCs w:val="18"/>
    </w:rPr>
  </w:style>
  <w:style w:type="character" w:customStyle="1" w:styleId="103">
    <w:name w:val="个人答复风格"/>
    <w:basedOn w:val="28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04">
    <w:name w:val="个人撰写风格"/>
    <w:basedOn w:val="28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05">
    <w:name w:val="页脚 Char"/>
    <w:basedOn w:val="28"/>
    <w:link w:val="22"/>
    <w:qFormat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4" Type="http://schemas.microsoft.com/office/2006/relationships/keyMapCustomizations" Target="customizations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ds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Company>CNIS</Company>
  <Pages>11</Pages>
  <Words>4199</Words>
  <Characters>1476</Characters>
  <Lines>12</Lines>
  <Paragraphs>11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2019-03-04T06:17:00Z</dcterms:created>
  <dc:creator>微软用户</dc:creator>
  <cp:lastModifiedBy>黄熙</cp:lastModifiedBy>
  <cp:lastPrinted>2019-04-24T06:07:00Z</cp:lastPrinted>
  <dcterms:modified xsi:type="dcterms:W3CDTF">2019-04-30T07:53:42Z</dcterms:modified>
  <dc:title>DB 44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2052-9.1.0.5012</vt:lpwstr>
  </property>
</Properties>
</file>