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治理前用人单位基本情况汇总表</w:t>
      </w:r>
      <w:bookmarkEnd w:id="0"/>
    </w:p>
    <w:p>
      <w:pPr>
        <w:spacing w:before="156" w:beforeLines="50" w:after="156" w:afterLines="50"/>
        <w:rPr>
          <w:rFonts w:hint="default" w:ascii="Times New Roman" w:hAnsi="Times New Roman" w:eastAsia="华文中宋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填报单位：                                           填表人：                               联系电话：</w:t>
      </w:r>
    </w:p>
    <w:tbl>
      <w:tblPr>
        <w:tblStyle w:val="3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38"/>
        <w:gridCol w:w="1263"/>
        <w:gridCol w:w="1133"/>
        <w:gridCol w:w="1280"/>
        <w:gridCol w:w="1563"/>
        <w:gridCol w:w="1274"/>
        <w:gridCol w:w="1277"/>
        <w:gridCol w:w="1277"/>
        <w:gridCol w:w="127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序号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行业领域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用人单位数量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从业人员数量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接触尘毒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危害人数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主要负责人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接受职业健康培训企业数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职业健康管理人员接受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培训企业数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劳动者接受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培训企业数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职业病危害项目申报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企业数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进行职业病危害定期检测企业数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进行职业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健康检查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1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矿山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其中：井工煤矿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露天煤矿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非煤地下矿山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非煤露天矿山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2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冶金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其中：黑色金属冶炼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有色金属冶炼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3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化工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其中：炼油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2"/>
              </w:rPr>
              <w:t>化工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2"/>
              </w:rPr>
              <w:t>合计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2"/>
              </w:rPr>
            </w:pPr>
          </w:p>
        </w:tc>
      </w:tr>
    </w:tbl>
    <w:p>
      <w:pPr>
        <w:spacing w:before="156" w:beforeLines="50"/>
        <w:ind w:firstLine="420" w:firstLineChars="200"/>
      </w:pPr>
      <w:r>
        <w:rPr>
          <w:rFonts w:hint="default" w:ascii="Times New Roman" w:hAnsi="Times New Roman" w:cs="Times New Roman"/>
          <w:sz w:val="21"/>
          <w:szCs w:val="22"/>
        </w:rPr>
        <w:t>说明：此表应当逐级报送，省级卫生健康行政部门于2019年7月30日前报送我委职业健康司。</w:t>
      </w:r>
    </w:p>
    <w:sectPr>
      <w:pgSz w:w="16838" w:h="11906" w:orient="landscape"/>
      <w:pgMar w:top="1304" w:right="1871" w:bottom="1304" w:left="1871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156B"/>
    <w:rsid w:val="0882156B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2019-05-20T07:17:00Z</dcterms:created>
  <dc:creator>Administrator</dc:creator>
  <cp:lastModifiedBy>Administrator</cp:lastModifiedBy>
  <dcterms:modified xsi:type="dcterms:W3CDTF">2019-05-20T07:18:26Z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