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napToGrid w:val="0"/>
        <w:spacing w:before="260" w:beforeLines="0" w:after="156" w:afterLines="50" w:line="300" w:lineRule="auto"/>
        <w:ind w:left="420" w:hanging="42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广东省健康人群登革热/基孔肯雅热抗体水平血清学监测表</w:t>
      </w:r>
    </w:p>
    <w:bookmarkEnd w:id="0"/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</w:rPr>
        <w:t>市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</w:rPr>
        <w:t>县/区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</w:rPr>
        <w:t>医疗机构</w:t>
      </w:r>
    </w:p>
    <w:tbl>
      <w:tblPr>
        <w:tblStyle w:val="6"/>
        <w:tblW w:w="136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20"/>
        <w:gridCol w:w="1120"/>
        <w:gridCol w:w="1120"/>
        <w:gridCol w:w="2512"/>
        <w:gridCol w:w="1180"/>
        <w:gridCol w:w="1278"/>
        <w:gridCol w:w="1106"/>
        <w:gridCol w:w="1442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编号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在广东居住时间(年/月)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采样日期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登革热IgG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检测结果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基孔肯雅热IgG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1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Cs w:val="21"/>
        </w:rPr>
        <w:t>注：抗体检测结果和采血人群的基本情况须及时录入“广东省急性传染病监测信息平台系统”。</w:t>
      </w:r>
    </w:p>
    <w:sectPr>
      <w:headerReference r:id="rId3" w:type="default"/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F1C5F"/>
    <w:rsid w:val="223B789B"/>
    <w:rsid w:val="231F1C5F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2019-05-28T11:03:00Z</dcterms:created>
  <dc:creator>Administrator</dc:creator>
  <cp:lastModifiedBy>Administrator</cp:lastModifiedBy>
  <dcterms:modified xsi:type="dcterms:W3CDTF">2019-05-28T11:04:17Z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