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lang w:eastAsia="zh-CN"/>
        </w:rPr>
      </w:pPr>
      <w:bookmarkStart w:id="0" w:name="_GoBack"/>
      <w:r>
        <w:rPr>
          <w:rFonts w:hint="default" w:ascii="Times New Roman" w:hAnsi="Times New Roman" w:eastAsia="黑体"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2120" w:leftChars="0" w:right="0" w:rightChars="0" w:hanging="2120" w:hangingChars="500"/>
        <w:jc w:val="center"/>
        <w:textAlignment w:val="auto"/>
        <w:rPr>
          <w:rFonts w:hint="default" w:ascii="Times New Roman" w:hAnsi="Times New Roman" w:eastAsia="方正小标宋简体" w:cs="Times New Roman"/>
          <w:snapToGrid w:val="0"/>
          <w:spacing w:val="-8"/>
          <w:kern w:val="0"/>
          <w:sz w:val="44"/>
          <w:szCs w:val="44"/>
          <w:lang w:eastAsia="zh-CN"/>
        </w:rPr>
      </w:pPr>
      <w:r>
        <w:rPr>
          <w:rFonts w:hint="default" w:ascii="Times New Roman" w:hAnsi="Times New Roman" w:eastAsia="方正小标宋简体" w:cs="Times New Roman"/>
          <w:snapToGrid w:val="0"/>
          <w:spacing w:val="-8"/>
          <w:kern w:val="0"/>
          <w:sz w:val="44"/>
          <w:szCs w:val="44"/>
        </w:rPr>
        <w:t>201</w:t>
      </w:r>
      <w:r>
        <w:rPr>
          <w:rFonts w:hint="default" w:ascii="Times New Roman" w:hAnsi="Times New Roman" w:eastAsia="方正小标宋简体" w:cs="Times New Roman"/>
          <w:snapToGrid w:val="0"/>
          <w:spacing w:val="-8"/>
          <w:kern w:val="0"/>
          <w:sz w:val="44"/>
          <w:szCs w:val="44"/>
          <w:lang w:val="en-US" w:eastAsia="zh-CN"/>
        </w:rPr>
        <w:t>9</w:t>
      </w:r>
      <w:r>
        <w:rPr>
          <w:rFonts w:hint="default" w:ascii="Times New Roman" w:hAnsi="Times New Roman" w:eastAsia="方正小标宋简体" w:cs="Times New Roman"/>
          <w:snapToGrid w:val="0"/>
          <w:spacing w:val="-8"/>
          <w:kern w:val="0"/>
          <w:sz w:val="44"/>
          <w:szCs w:val="44"/>
        </w:rPr>
        <w:t>年度</w:t>
      </w:r>
      <w:r>
        <w:rPr>
          <w:rFonts w:hint="default" w:ascii="Times New Roman" w:hAnsi="Times New Roman" w:eastAsia="方正小标宋简体" w:cs="Times New Roman"/>
          <w:snapToGrid w:val="0"/>
          <w:spacing w:val="-8"/>
          <w:kern w:val="0"/>
          <w:sz w:val="44"/>
          <w:szCs w:val="44"/>
          <w:lang w:eastAsia="zh-CN"/>
        </w:rPr>
        <w:t>第二批</w:t>
      </w:r>
      <w:r>
        <w:rPr>
          <w:rFonts w:hint="default" w:ascii="Times New Roman" w:hAnsi="Times New Roman" w:eastAsia="方正小标宋简体" w:cs="Times New Roman"/>
          <w:snapToGrid w:val="0"/>
          <w:spacing w:val="-8"/>
          <w:kern w:val="0"/>
          <w:sz w:val="44"/>
          <w:szCs w:val="44"/>
        </w:rPr>
        <w:t>广东省医学科研</w:t>
      </w:r>
      <w:r>
        <w:rPr>
          <w:rFonts w:hint="default" w:ascii="Times New Roman" w:hAnsi="Times New Roman" w:eastAsia="方正小标宋简体" w:cs="Times New Roman"/>
          <w:snapToGrid w:val="0"/>
          <w:spacing w:val="-8"/>
          <w:kern w:val="0"/>
          <w:sz w:val="44"/>
          <w:szCs w:val="44"/>
          <w:lang w:eastAsia="zh-CN"/>
        </w:rPr>
        <w:t>基金</w:t>
      </w:r>
      <w:r>
        <w:rPr>
          <w:rFonts w:hint="default" w:ascii="Times New Roman" w:hAnsi="Times New Roman" w:eastAsia="方正小标宋简体" w:cs="Times New Roman"/>
          <w:snapToGrid w:val="0"/>
          <w:spacing w:val="-8"/>
          <w:kern w:val="0"/>
          <w:sz w:val="44"/>
          <w:szCs w:val="44"/>
        </w:rPr>
        <w:t>指令性课题项目</w:t>
      </w:r>
      <w:r>
        <w:rPr>
          <w:rFonts w:hint="default" w:ascii="Times New Roman" w:hAnsi="Times New Roman" w:eastAsia="方正小标宋简体" w:cs="Times New Roman"/>
          <w:snapToGrid w:val="0"/>
          <w:spacing w:val="-8"/>
          <w:kern w:val="0"/>
          <w:sz w:val="44"/>
          <w:szCs w:val="44"/>
          <w:lang w:eastAsia="zh-CN"/>
        </w:rPr>
        <w:t>一览表</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2120" w:leftChars="0" w:right="0" w:rightChars="0" w:hanging="2120" w:hangingChars="500"/>
        <w:jc w:val="center"/>
        <w:textAlignment w:val="auto"/>
        <w:rPr>
          <w:rFonts w:hint="default" w:ascii="Times New Roman" w:hAnsi="Times New Roman" w:eastAsia="方正小标宋简体" w:cs="Times New Roman"/>
          <w:snapToGrid w:val="0"/>
          <w:spacing w:val="-8"/>
          <w:kern w:val="0"/>
          <w:sz w:val="44"/>
          <w:szCs w:val="44"/>
          <w:lang w:eastAsia="zh-CN"/>
        </w:rPr>
      </w:pPr>
    </w:p>
    <w:tbl>
      <w:tblPr>
        <w:tblStyle w:val="3"/>
        <w:tblW w:w="13344"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60"/>
        <w:gridCol w:w="3210"/>
        <w:gridCol w:w="7420"/>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项目编号</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承担单位</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项目名称</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C2019043</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广东省人民医院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基于组织标本库的主动脉夹层易感基因鉴定和转录差异基因联合分析</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黄澄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C2019044</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广东省人民医院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基于视网膜图像的人工智能在高血压慢病管理中的应用研究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黄漫清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C2019045</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广东省人民医院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不孕症患者阴道微生态状况研究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徐嘉文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C2019046</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广东省人民医院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人文医院构建中护理人员职业群体心理健康培育的路径与策略研究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张容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C2019047</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广东省老年医学研究所</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诺欣妥在EF减低心衰病人治疗后EF改善至正常的后续治疗研究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靳朴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C2019048</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广东省疾病预防控制中心</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婴幼儿谷类辅助食品原料大米中镉去除方法体系的研究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蔡文华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C2019049</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广东省疾病预防控制中心</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广东省中小学生近视基线调查及影响因素分析</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曲亚斌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C2019050</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广东省公共卫生研究院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广东省散装花生油中黄曲霉毒素膳食暴露概率评估</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陈少威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C2019051</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广东省疾病预防控制中心</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基于时间序列模型预测散装花生油黄曲霉毒素B1的风险等级研究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屠鸿薇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C2019052</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广东省生物制品与药物研究所</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四类食品原料的政策法规及名单研究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王萍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C2019053</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广东省疾病预防控制中心</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广东省预防接种异常反应补偿保险项目评估体系建立与应用</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孙立梅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C2019054</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广东省疾病预防控制中心</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广东省高年龄组人群艾滋病感染状况及流行因素研究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谢仕兰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C2019055</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广东省疾病预防控制中心</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利用秀丽隐杆线虫快速筛查双酚S生殖发育毒性效应及机制研究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唐娇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C2019056</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广东省第二人民医院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广州市社区人群脑血管病高危因素筛查及干预效果的长期随访研究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林剑国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C2019057</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广东省第二人民医院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地级市紧急医学救援队能力指标体系研究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丁文锋</w:t>
            </w:r>
          </w:p>
        </w:tc>
      </w:tr>
    </w:tbl>
    <w:p>
      <w:pPr>
        <w:rPr>
          <w:rFonts w:hint="default" w:ascii="Times New Roman" w:hAnsi="Times New Roman" w:cs="Times New Roman"/>
        </w:rPr>
      </w:pPr>
    </w:p>
    <w:tbl>
      <w:tblPr>
        <w:tblStyle w:val="3"/>
        <w:tblW w:w="13374" w:type="dxa"/>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00"/>
        <w:gridCol w:w="3180"/>
        <w:gridCol w:w="7540"/>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项目编号</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承担单位</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项目名称</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C2019058</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广东省职业病防治院</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我省临床核医学工作场所放射性气溶胶水平及人员内照射辐射水平初探</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耿继武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C2019059</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广东省职业病防治院</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广东省职业病防治机构规范化建设研究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刘敏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C2019060</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广东省职业病防治院</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广东省职业病危害现状调查工作方案制定</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刘明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C2019061</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广东省职业病防治院</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广东省突发中毒事件卫生应急体系建设研究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江嘉欣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C2019062</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广东省职业病防治院</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食品中放射性物质监测的冻干前处理技术研究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刘彦兵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C2019063</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广东省职业病防治院</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广东省职业卫生质量控制研究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肖斌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C2019064</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广东省职业病防治院</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群体性职业病事件风险防范研究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李斌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C2019065</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广东省妇幼保健院</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广东省助产机构出生缺陷医院监测能力的差异性研究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徐昊立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C2019066</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广东省妇幼保健院</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广东省级妇幼卫生信息系统推广应用障碍及对策研究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吴云涛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C2019067</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广东省妇幼保健院</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婴儿早期诊断技术在预防艾滋病母婴传播效果评价中的意义探索</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汤柳英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C2019068</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广东省妇幼保健院</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应用产前超声小腿长轴和足的长轴的夹角评估先天性马蹄内翻足临床严重程度的应用研究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金龙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C2019069</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广东省卫生健康宣传教育中心</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广东省青少年烟草流行现况及健康教育干预策略研究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林彩红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C2019070</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广东省卫生健康宣传教育中心</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广东省健康促进县（市、区）建设研究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杨帆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C2019071</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广东省结核病控制中心</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广东省结核病流行模式及其影响因素研究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陈珣珣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C2019072</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广东省结核病控制中心</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信息化背景下的专项资金绩效评价研究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陈洁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C2019073</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广东省结核病控制中心</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广东省部分养老机构老年人体检及结核病核心知识知晓情况现况调查</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方兰君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C2019074</w:t>
            </w:r>
          </w:p>
        </w:tc>
        <w:tc>
          <w:tcPr>
            <w:tcW w:w="31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广东省结核病控制中心</w:t>
            </w:r>
          </w:p>
        </w:tc>
        <w:tc>
          <w:tcPr>
            <w:tcW w:w="7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新形势下结核病健康教育综合模式创新研究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吴惠忠</w:t>
            </w:r>
          </w:p>
        </w:tc>
      </w:tr>
    </w:tbl>
    <w:p>
      <w:pPr>
        <w:rPr>
          <w:rFonts w:hint="default" w:ascii="Times New Roman" w:hAnsi="Times New Roman" w:cs="Times New Roman"/>
        </w:rPr>
      </w:pPr>
    </w:p>
    <w:tbl>
      <w:tblPr>
        <w:tblStyle w:val="3"/>
        <w:tblW w:w="13665"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7"/>
        <w:gridCol w:w="1413"/>
        <w:gridCol w:w="90"/>
        <w:gridCol w:w="2595"/>
        <w:gridCol w:w="1755"/>
        <w:gridCol w:w="6190"/>
        <w:gridCol w:w="410"/>
        <w:gridCol w:w="744"/>
        <w:gridCol w:w="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47" w:type="dxa"/>
          <w:wAfter w:w="321" w:type="dxa"/>
          <w:trHeight w:val="286" w:hRule="atLeast"/>
        </w:trPr>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项目编号</w:t>
            </w:r>
          </w:p>
        </w:tc>
        <w:tc>
          <w:tcPr>
            <w:tcW w:w="4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承担单位</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项目名称</w:t>
            </w:r>
          </w:p>
        </w:tc>
        <w:tc>
          <w:tcPr>
            <w:tcW w:w="11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47" w:type="dxa"/>
          <w:wAfter w:w="321" w:type="dxa"/>
          <w:trHeight w:val="286" w:hRule="atLeast"/>
        </w:trPr>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C2019075</w:t>
            </w:r>
          </w:p>
        </w:tc>
        <w:tc>
          <w:tcPr>
            <w:tcW w:w="4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广东省医学实验动物中心</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党建与实验动物工作融合发展的实施研究</w:t>
            </w:r>
          </w:p>
        </w:tc>
        <w:tc>
          <w:tcPr>
            <w:tcW w:w="11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王诺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47" w:type="dxa"/>
          <w:wAfter w:w="321" w:type="dxa"/>
          <w:trHeight w:val="286" w:hRule="atLeast"/>
        </w:trPr>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C2019076</w:t>
            </w:r>
          </w:p>
        </w:tc>
        <w:tc>
          <w:tcPr>
            <w:tcW w:w="4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广东省干部保健中心</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广东省机关干部吸烟指数与血脂异常、血糖相关性研究</w:t>
            </w:r>
          </w:p>
        </w:tc>
        <w:tc>
          <w:tcPr>
            <w:tcW w:w="11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梁绮婷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47" w:type="dxa"/>
          <w:wAfter w:w="321" w:type="dxa"/>
          <w:trHeight w:val="286" w:hRule="atLeast"/>
        </w:trPr>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C2019077</w:t>
            </w:r>
          </w:p>
        </w:tc>
        <w:tc>
          <w:tcPr>
            <w:tcW w:w="4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广州市增城区新塘镇中心卫生院</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基于MRI T2WI序列的纹理分析在鉴别肝细胞癌分化程度的应用研究</w:t>
            </w:r>
          </w:p>
        </w:tc>
        <w:tc>
          <w:tcPr>
            <w:tcW w:w="11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黄伟康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47" w:type="dxa"/>
          <w:wAfter w:w="321" w:type="dxa"/>
          <w:trHeight w:val="286" w:hRule="atLeast"/>
        </w:trPr>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C2019078</w:t>
            </w:r>
          </w:p>
        </w:tc>
        <w:tc>
          <w:tcPr>
            <w:tcW w:w="4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广州市黄埔区疾病预防控制中心</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广州市黄埔区重点职业病疾病负担研究</w:t>
            </w:r>
          </w:p>
        </w:tc>
        <w:tc>
          <w:tcPr>
            <w:tcW w:w="11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许丹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47" w:type="dxa"/>
          <w:wAfter w:w="321" w:type="dxa"/>
          <w:trHeight w:val="286" w:hRule="atLeast"/>
        </w:trPr>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C2019079</w:t>
            </w:r>
          </w:p>
        </w:tc>
        <w:tc>
          <w:tcPr>
            <w:tcW w:w="4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广州市第一人民医院</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肿瘤变化和危及器官状态对宫颈癌放疗外扩边界的影响</w:t>
            </w:r>
          </w:p>
        </w:tc>
        <w:tc>
          <w:tcPr>
            <w:tcW w:w="11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曹小飞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47" w:type="dxa"/>
          <w:wAfter w:w="321" w:type="dxa"/>
          <w:trHeight w:val="286" w:hRule="atLeast"/>
        </w:trPr>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C2019080</w:t>
            </w:r>
          </w:p>
        </w:tc>
        <w:tc>
          <w:tcPr>
            <w:tcW w:w="4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广州市红十字会医院</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环状RNA circRNA_100876通过miR-646/NOB1轴调控结直肠癌细胞转移复发的作用及机制研究</w:t>
            </w:r>
          </w:p>
        </w:tc>
        <w:tc>
          <w:tcPr>
            <w:tcW w:w="11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董泾青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47" w:type="dxa"/>
          <w:wAfter w:w="321" w:type="dxa"/>
          <w:trHeight w:val="286" w:hRule="atLeast"/>
        </w:trPr>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C2019081</w:t>
            </w:r>
          </w:p>
        </w:tc>
        <w:tc>
          <w:tcPr>
            <w:tcW w:w="4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广州市天河区石牌街华师社区卫生服务中心</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家庭医生签约服务对2型糖尿病患者管理效果评价的研究</w:t>
            </w:r>
          </w:p>
        </w:tc>
        <w:tc>
          <w:tcPr>
            <w:tcW w:w="11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丁静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47" w:type="dxa"/>
          <w:wAfter w:w="321" w:type="dxa"/>
          <w:trHeight w:val="286" w:hRule="atLeast"/>
        </w:trPr>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C2019082</w:t>
            </w:r>
          </w:p>
        </w:tc>
        <w:tc>
          <w:tcPr>
            <w:tcW w:w="4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广州市白云区妇幼保健院</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联合检测血清LDH和CysC预测子痫前期在基层医院的应用研究</w:t>
            </w:r>
          </w:p>
        </w:tc>
        <w:tc>
          <w:tcPr>
            <w:tcW w:w="11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黎丽嫦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47" w:type="dxa"/>
          <w:wAfter w:w="321" w:type="dxa"/>
          <w:trHeight w:val="286" w:hRule="atLeast"/>
        </w:trPr>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C2019083</w:t>
            </w:r>
          </w:p>
        </w:tc>
        <w:tc>
          <w:tcPr>
            <w:tcW w:w="4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广州市急救医疗指挥中心</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大湾区城市群卫生应急工作关联性分析与跨区域卫生应急资源层级协调调配联动机制研究</w:t>
            </w:r>
          </w:p>
        </w:tc>
        <w:tc>
          <w:tcPr>
            <w:tcW w:w="11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李双明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47" w:type="dxa"/>
          <w:wAfter w:w="321" w:type="dxa"/>
          <w:trHeight w:val="286" w:hRule="atLeast"/>
        </w:trPr>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C2019084</w:t>
            </w:r>
          </w:p>
        </w:tc>
        <w:tc>
          <w:tcPr>
            <w:tcW w:w="4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广州市荔湾区站前街社区卫生服务中心</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医联体模式下社区糖尿病健康教育的研究</w:t>
            </w:r>
          </w:p>
        </w:tc>
        <w:tc>
          <w:tcPr>
            <w:tcW w:w="11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梁汝琼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47" w:type="dxa"/>
          <w:wAfter w:w="321" w:type="dxa"/>
          <w:trHeight w:val="286" w:hRule="atLeast"/>
        </w:trPr>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C2019085</w:t>
            </w:r>
          </w:p>
        </w:tc>
        <w:tc>
          <w:tcPr>
            <w:tcW w:w="4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广州市越秀区妇幼保健院</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围绝经期综合征医院-社区一体化管理模式的探索</w:t>
            </w:r>
          </w:p>
        </w:tc>
        <w:tc>
          <w:tcPr>
            <w:tcW w:w="11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隋敏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47" w:type="dxa"/>
          <w:wAfter w:w="321" w:type="dxa"/>
          <w:trHeight w:val="286" w:hRule="atLeast"/>
        </w:trPr>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C2019086</w:t>
            </w:r>
          </w:p>
        </w:tc>
        <w:tc>
          <w:tcPr>
            <w:tcW w:w="4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广州市白云区人民医院</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婴幼儿圆锥动脉干畸形并冠状动脉异位起源低剂量MSCT诊断与动脉调转术围手术期评估相关性的研究</w:t>
            </w:r>
          </w:p>
        </w:tc>
        <w:tc>
          <w:tcPr>
            <w:tcW w:w="11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张秉权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147" w:type="dxa"/>
          <w:wAfter w:w="321" w:type="dxa"/>
          <w:trHeight w:val="286" w:hRule="atLeast"/>
        </w:trPr>
        <w:tc>
          <w:tcPr>
            <w:tcW w:w="15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C2019087</w:t>
            </w:r>
          </w:p>
        </w:tc>
        <w:tc>
          <w:tcPr>
            <w:tcW w:w="4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深圳市龙岗区人民医院</w:t>
            </w:r>
          </w:p>
        </w:tc>
        <w:tc>
          <w:tcPr>
            <w:tcW w:w="6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基于PCMH模式下的社区残疾人心理与社会功能状态研究</w:t>
            </w:r>
          </w:p>
        </w:tc>
        <w:tc>
          <w:tcPr>
            <w:tcW w:w="11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黎小崇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项目编号</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承担单位</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项目名称</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C2019088</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深圳市人民医院</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精准扶贫下提升基层医疗卫生服务能力的应用研究</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张华东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C2019089</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汕头市第二人民医院</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市级应急医院在突发重大爆炸、毒气泄漏事故中卫生应急响应处置对策的研究</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王乐浩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C2019090</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佛山市妇幼保健院</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基于素质—应激模型的社会支持与妊娠期抑郁症状关联性研究</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郭晓玲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C2019091</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佛山市南海区妇幼保健院</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基于ICF-CY的脑性瘫痪“3＋1”全人康复模式构建</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钱旭光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C2019092</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佛山市顺德区乐从医院</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脑出血微创血肿清除术后DWI和MRS临床研究</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刘畅铭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C2019093</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东莞市人民医院</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3.0T MRI Starvibe Reslove序列联合多参数成像评价非小细胞肺癌PD-1/PD-L1免疫治疗疗效的作用研究</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王刚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C2019094</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东莞市厚街医院</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赤道几内亚居民糖尿病流行病学调查和治疗现况分析</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莫海军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C2019095</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东莞市第八人民医院</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赤道几内亚围产期母婴安全管理模式建立的研究</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林朝凤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C2019096</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东莞市人民医院</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MicroRNA-192在结直肠癌侵袭和转移中的作用和机制研究</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冼丽英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C2019097</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东莞市人民医院</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异紫堇碱调控NDRG1抑制卵巢癌的作用及机制</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黄丽珊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C2019098</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惠州市第二妇幼保健院</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基于微信平台的CBL结合多媒体教学法在妇产科住院医师规范化培训中的应用</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李洁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C2019099</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广东省农垦中心医院</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全麻联合超声引导腹横肌平面阻滞麻醉下目标导向液体治疗在腹腔镜直肠癌根治术中的应用</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C2019100</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中山大学</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广东省城乡基层综合医改典型案例研究</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黄奕祥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C2019101</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中山大学</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综合监管制度研究</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郝元涛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C2019102</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中山大学</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广东省医学人工智能应用与基层医疗服务能力提升研究</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吴少龙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C2019103</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中山大学附属第一医院</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颈围评估高血压血管风险水平的临床研究</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吴芳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C2019104</w:t>
            </w:r>
          </w:p>
        </w:tc>
        <w:tc>
          <w:tcPr>
            <w:tcW w:w="2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中山大学附属第一医院</w:t>
            </w:r>
          </w:p>
        </w:tc>
        <w:tc>
          <w:tcPr>
            <w:tcW w:w="83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宫颈鳞状上皮内病变精准治疗与LEEP术对比研究</w:t>
            </w:r>
          </w:p>
        </w:tc>
        <w:tc>
          <w:tcPr>
            <w:tcW w:w="10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沈宏伟</w:t>
            </w:r>
          </w:p>
        </w:tc>
      </w:tr>
    </w:tbl>
    <w:p>
      <w:pPr>
        <w:rPr>
          <w:rFonts w:hint="default" w:ascii="Times New Roman" w:hAnsi="Times New Roman" w:cs="Times New Roman"/>
        </w:rPr>
      </w:pPr>
    </w:p>
    <w:tbl>
      <w:tblPr>
        <w:tblStyle w:val="3"/>
        <w:tblW w:w="13329" w:type="dxa"/>
        <w:tblInd w:w="-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
        <w:gridCol w:w="1425"/>
        <w:gridCol w:w="45"/>
        <w:gridCol w:w="2685"/>
        <w:gridCol w:w="555"/>
        <w:gridCol w:w="7420"/>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5" w:type="dxa"/>
          <w:trHeight w:val="286"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项目编号</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承担单位</w:t>
            </w:r>
          </w:p>
        </w:tc>
        <w:tc>
          <w:tcPr>
            <w:tcW w:w="7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项目名称</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5" w:type="dxa"/>
          <w:trHeight w:val="286"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C2019105</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中山大学附属第一医院</w:t>
            </w:r>
          </w:p>
        </w:tc>
        <w:tc>
          <w:tcPr>
            <w:tcW w:w="7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以急诊为核心应对大规模伤亡突发事件的医院结构化应急管理的大平台建设</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廖瑾莉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5" w:type="dxa"/>
          <w:trHeight w:val="286"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C2019106</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中山大学孙逸仙纪念医院</w:t>
            </w:r>
          </w:p>
        </w:tc>
        <w:tc>
          <w:tcPr>
            <w:tcW w:w="7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探讨Galectin-3水平对强化教育干预后糖尿病前期患者转归的预测价值</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林刁珠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5" w:type="dxa"/>
          <w:trHeight w:val="286"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C2019107</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中山大学附属第三医院</w:t>
            </w:r>
          </w:p>
        </w:tc>
        <w:tc>
          <w:tcPr>
            <w:tcW w:w="7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miR-30c靶向SOCS1和MDTH调节内/外源性细胞凋亡双通路介导心肌细胞缺血/再灌注损伤的机制研究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李苏华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5" w:type="dxa"/>
          <w:trHeight w:val="286"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C2019108</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中山大学附属第三医院</w:t>
            </w:r>
          </w:p>
        </w:tc>
        <w:tc>
          <w:tcPr>
            <w:tcW w:w="7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COX-2抑制剂通过Treg途经增强儿童Xp11易位性肾癌免疫治疗机制研究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蔡佳荣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5" w:type="dxa"/>
          <w:trHeight w:val="286"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C2019109</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中山大学附属第三医院</w:t>
            </w:r>
          </w:p>
        </w:tc>
        <w:tc>
          <w:tcPr>
            <w:tcW w:w="7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探讨抓基层乙肝普查普治助力2030年消除肝炎危害的方法</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陈幼明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5" w:type="dxa"/>
          <w:trHeight w:val="286"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C2019110</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中山大学肿瘤防治中心</w:t>
            </w:r>
          </w:p>
        </w:tc>
        <w:tc>
          <w:tcPr>
            <w:tcW w:w="7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新型雌激素受体GPER调控上皮间质化（EMT）促进女性弥漫型胃癌进展的机制研究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周溢鑫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5" w:type="dxa"/>
          <w:trHeight w:val="286"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C2019111</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中山大学肿瘤防治中心</w:t>
            </w:r>
          </w:p>
        </w:tc>
        <w:tc>
          <w:tcPr>
            <w:tcW w:w="7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肿瘤化疗患者高危预警系统的构建与应用研究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覃惠英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5" w:type="dxa"/>
          <w:trHeight w:val="286"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C2019112</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南方医科大学南方医院</w:t>
            </w:r>
          </w:p>
        </w:tc>
        <w:tc>
          <w:tcPr>
            <w:tcW w:w="7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毛发种植术后毛囊炎分型及发病机制研究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苗勇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5" w:type="dxa"/>
          <w:trHeight w:val="286"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C2019113</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南方医科大学南方医院</w:t>
            </w:r>
          </w:p>
        </w:tc>
        <w:tc>
          <w:tcPr>
            <w:tcW w:w="7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阿尔茨海默症老干部患者体验式保健护理空间设计探究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刘国艳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5" w:type="dxa"/>
          <w:trHeight w:val="286"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C2019114</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南方医科大学南方医院</w:t>
            </w:r>
          </w:p>
        </w:tc>
        <w:tc>
          <w:tcPr>
            <w:tcW w:w="7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ORM1在膀胱癌中的生物学作用及机制研究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侯丽娜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5" w:type="dxa"/>
          <w:trHeight w:val="286"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C2019115</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南方医科大学南方医院</w:t>
            </w:r>
          </w:p>
        </w:tc>
        <w:tc>
          <w:tcPr>
            <w:tcW w:w="7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按病种价值定价方法研究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邓光璞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5" w:type="dxa"/>
          <w:trHeight w:val="555"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C2019116</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南方医科大学南方医院</w:t>
            </w:r>
          </w:p>
        </w:tc>
        <w:tc>
          <w:tcPr>
            <w:tcW w:w="7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广东省各地市医疗服务项目比价关系研究——以妇科类手术为例</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张远妮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5" w:type="dxa"/>
          <w:trHeight w:val="286"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C2019117</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南方医科大学南方医院</w:t>
            </w:r>
          </w:p>
        </w:tc>
        <w:tc>
          <w:tcPr>
            <w:tcW w:w="7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家庭友好福利和家庭支持型主管行为对医院员工家庭工作冲突和绩效产出的多水平影响</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施盛莹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45" w:type="dxa"/>
          <w:trHeight w:val="286" w:hRule="atLeast"/>
        </w:trPr>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C2019118</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南方医科大学珠江医院</w:t>
            </w:r>
          </w:p>
        </w:tc>
        <w:tc>
          <w:tcPr>
            <w:tcW w:w="79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低能量体外冲击波联合冲击波刺激神阙-气海-关元治疗勃起功能障碍的疗效观察</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李传印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项目编号</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承担单位</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项目名称</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C2019119</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南方医科大学珠江医院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基于临床医疗大数据的心血管疾病优化诊疗策略及其在基层人才能力持续提升中的作用</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张培东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C2019120</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南方医科大学珠江医院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虚拟“梧桐模式”在帕金森病睡眠障碍护理中的探索</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杨晓华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C2019121</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南方医科大学第三附属医院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郁南县地方性慢性阻塞性肺疾病早期筛查与外科介入综合防治规范化培训及人才队伍建设</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薛雷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C2019122</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南方医科大学皮肤病医院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广东省重点人群生殖道沙眼衣原体感染率现况调查研究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王成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C2019123</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暨南大学</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互联网医疗服务监管课题研究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胡勇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C2019124</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暨南大学</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新媒体背景下卫生健康政策精准传播研究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黄雅堃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C2019125</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暨南大学附属第一医院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关于基层医院医疗人才队伍建设探讨</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项永生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C2019126</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广州中医药大学</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广东省儿童健康管理服务质量评价及优化策略研究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邹冠炀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C2019127</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广州中医药大学第一附属医院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血管OCT对无明显视力下降的糖尿病患者黄斑区血流的临床研究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刘求红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C2019128</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广东省中医院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科室“暖”文化对提升患者满意度的临床研究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蒋华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C2019129</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广州医科大学附属第一医院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帕金森病患者智能化延续护理管理系统的建立及应用研究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周玉兰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C2019130</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广州医科大学附属第一医院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便携式中频治疗仪在无管单孔胸腔镜肺部小结节手术后快速康复及舒适护理中的应用研究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C2019131</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广州医科大学附属第一医院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微创技术结合快速康复理念在基层医院推广应用</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尹知训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C2019132</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广州医科大学附属第一医院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鲍曼不动杆菌外膜蛋白OmpA调控血小板TLT-1的作用机制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李翊泉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C2019133</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广州医科大学附属第一医院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T1a期NSCLC患者肺叶切除与亚肺叶切除优缺点对比研究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黄俊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C2019134</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广州医科大学附属第二医院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青年文明号培育机制的研究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kern w:val="0"/>
                <w:sz w:val="24"/>
                <w:szCs w:val="24"/>
                <w:u w:val="none"/>
                <w:lang w:val="en-US" w:eastAsia="zh-CN" w:bidi="ar"/>
              </w:rPr>
            </w:pPr>
            <w:r>
              <w:rPr>
                <w:rFonts w:hint="default" w:ascii="Times New Roman" w:hAnsi="Times New Roman" w:eastAsia="楷体_GB2312" w:cs="Times New Roman"/>
                <w:i w:val="0"/>
                <w:color w:val="000000"/>
                <w:kern w:val="0"/>
                <w:sz w:val="24"/>
                <w:szCs w:val="24"/>
                <w:u w:val="none"/>
                <w:lang w:val="en-US" w:eastAsia="zh-CN" w:bidi="ar"/>
              </w:rPr>
              <w:t>吴文博</w:t>
            </w:r>
          </w:p>
        </w:tc>
      </w:tr>
    </w:tbl>
    <w:p>
      <w:pPr>
        <w:rPr>
          <w:rFonts w:hint="default" w:ascii="Times New Roman" w:hAnsi="Times New Roman" w:cs="Times New Roman"/>
        </w:rPr>
      </w:pPr>
    </w:p>
    <w:tbl>
      <w:tblPr>
        <w:tblStyle w:val="3"/>
        <w:tblW w:w="131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03"/>
        <w:gridCol w:w="3120"/>
        <w:gridCol w:w="7420"/>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项目编号</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承担单位</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项目名称</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C2019135</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广州医科大学附属肿瘤医院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胃癌腹腔热灌注化疗个案管理模式的临床随机对照研究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萧雪英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bottom"/>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C2019136</w:t>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中山大学新华学院</w:t>
            </w:r>
          </w:p>
        </w:tc>
        <w:tc>
          <w:tcPr>
            <w:tcW w:w="7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left"/>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粤港澳大湾区卫生健康标准体系研究</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bottom"/>
              <w:outlineLvl w:val="9"/>
              <w:rPr>
                <w:rFonts w:hint="default" w:ascii="Times New Roman" w:hAnsi="Times New Roman" w:eastAsia="楷体_GB2312" w:cs="Times New Roman"/>
                <w:i w:val="0"/>
                <w:color w:val="000000"/>
                <w:sz w:val="24"/>
                <w:szCs w:val="24"/>
                <w:u w:val="none"/>
              </w:rPr>
            </w:pPr>
            <w:r>
              <w:rPr>
                <w:rFonts w:hint="default" w:ascii="Times New Roman" w:hAnsi="Times New Roman" w:eastAsia="楷体_GB2312" w:cs="Times New Roman"/>
                <w:i w:val="0"/>
                <w:color w:val="000000"/>
                <w:kern w:val="0"/>
                <w:sz w:val="24"/>
                <w:szCs w:val="24"/>
                <w:u w:val="none"/>
                <w:lang w:val="en-US" w:eastAsia="zh-CN" w:bidi="ar"/>
              </w:rPr>
              <w:t>王庭槐</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2120" w:leftChars="0" w:right="0" w:rightChars="0" w:hanging="2120" w:hangingChars="500"/>
        <w:jc w:val="center"/>
        <w:textAlignment w:val="auto"/>
        <w:rPr>
          <w:rFonts w:hint="default" w:ascii="Times New Roman" w:hAnsi="Times New Roman" w:eastAsia="楷体_GB2312" w:cs="Times New Roman"/>
          <w:snapToGrid w:val="0"/>
          <w:spacing w:val="-8"/>
          <w:kern w:val="0"/>
          <w:sz w:val="44"/>
          <w:szCs w:val="44"/>
          <w:lang w:eastAsia="zh-CN"/>
        </w:rPr>
        <w:sectPr>
          <w:pgSz w:w="16838" w:h="11906" w:orient="landscape"/>
          <w:pgMar w:top="1531" w:right="2041" w:bottom="1531" w:left="2041" w:header="851" w:footer="1332" w:gutter="0"/>
          <w:pgNumType w:fmt="numberInDash"/>
          <w:cols w:space="720" w:num="1"/>
          <w:rtlGutter w:val="0"/>
          <w:docGrid w:type="lines" w:linePitch="442" w:charSpace="0"/>
        </w:sectPr>
      </w:pPr>
    </w:p>
    <w:p/>
    <w:sectPr>
      <w:pgSz w:w="16838" w:h="11906" w:orient="landscape"/>
      <w:pgMar w:top="1531" w:right="2041" w:bottom="1531" w:left="204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E6488"/>
    <w:rsid w:val="223B789B"/>
    <w:rsid w:val="66C21D39"/>
    <w:rsid w:val="7DDE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2019-07-10T01:24:00Z</dcterms:created>
  <dc:creator>华</dc:creator>
  <cp:lastModifiedBy>华</cp:lastModifiedBy>
  <dcterms:modified xsi:type="dcterms:W3CDTF">2019-07-10T01:26:40Z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