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广东省职业健康检查机构申请备案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
          <w:bCs/>
          <w:sz w:val="44"/>
          <w:szCs w:val="44"/>
          <w:lang w:eastAsia="zh-CN"/>
        </w:rPr>
      </w:pPr>
      <w:r>
        <w:rPr>
          <w:rFonts w:hint="eastAsia" w:ascii="方正小标宋简体" w:hAnsi="方正小标宋简体" w:eastAsia="方正小标宋简体" w:cs="方正小标宋简体"/>
          <w:b w:val="0"/>
          <w:bCs w:val="0"/>
          <w:sz w:val="44"/>
          <w:szCs w:val="44"/>
          <w:lang w:eastAsia="zh-CN"/>
        </w:rPr>
        <w:t>提交材料说明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一、备案材料提交纸质版一份（材料扫描件刻录光碟一份），将材料提交到省卫生健康委职业健康处。完成备案程序后，职业健康处将备案纸质材料和备案材料电子文档归档。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二、附表</w:t>
      </w:r>
      <w:r>
        <w:rPr>
          <w:rFonts w:hint="eastAsia" w:ascii="仿宋_GB2312" w:hAnsi="仿宋_GB2312" w:eastAsia="仿宋_GB2312" w:cs="仿宋_GB2312"/>
          <w:b w:val="0"/>
          <w:bCs w:val="0"/>
          <w:sz w:val="32"/>
          <w:szCs w:val="32"/>
          <w:lang w:val="en-US" w:eastAsia="zh-CN"/>
        </w:rPr>
        <w:t>1、2、3、4需要备案申请单位法定代表人签字，盖单位公章，注明日期。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三、备案申请单位需按照本办法的要求，对各附表进行规范填写。每类项目需提供对应的佐证材料</w:t>
      </w:r>
      <w:r>
        <w:rPr>
          <w:rFonts w:hint="eastAsia" w:ascii="仿宋_GB2312" w:hAnsi="仿宋_GB2312" w:eastAsia="仿宋_GB2312" w:cs="仿宋_GB2312"/>
          <w:b w:val="0"/>
          <w:bCs w:val="0"/>
          <w:sz w:val="32"/>
          <w:szCs w:val="32"/>
          <w:lang w:val="en-US" w:eastAsia="zh-CN"/>
        </w:rPr>
        <w:t>(具体见附件1、2、3、4中“需提供佐证材料形式”)</w:t>
      </w:r>
      <w:r>
        <w:rPr>
          <w:rFonts w:hint="eastAsia" w:ascii="仿宋_GB2312" w:hAnsi="仿宋_GB2312" w:eastAsia="仿宋_GB2312" w:cs="仿宋_GB2312"/>
          <w:b w:val="0"/>
          <w:bCs w:val="0"/>
          <w:sz w:val="32"/>
          <w:szCs w:val="32"/>
          <w:lang w:eastAsia="zh-CN"/>
        </w:rPr>
        <w:t>，佐证材料都应由备案申请单位法定代表人签字、盖单位公章（含骑缝公章）。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sz w:val="32"/>
          <w:szCs w:val="32"/>
        </w:rPr>
      </w:pPr>
      <w:r>
        <w:rPr>
          <w:rFonts w:hint="eastAsia" w:ascii="仿宋_GB2312" w:eastAsia="仿宋_GB2312"/>
          <w:sz w:val="32"/>
          <w:szCs w:val="32"/>
          <w:lang w:eastAsia="zh-CN"/>
        </w:rPr>
        <w:t>四、《广东省职业健康检查机构申请备案医疗卫生技术人员配置条件规范》（附件1）中“</w:t>
      </w:r>
      <w:r>
        <w:rPr>
          <w:rFonts w:hint="eastAsia" w:ascii="仿宋_GB2312" w:hAnsi="仿宋_GB2312" w:eastAsia="仿宋_GB2312" w:cs="仿宋_GB2312"/>
          <w:sz w:val="32"/>
          <w:szCs w:val="32"/>
        </w:rPr>
        <w:t>质量负责人</w:t>
      </w:r>
      <w:r>
        <w:rPr>
          <w:rFonts w:hint="eastAsia" w:ascii="仿宋_GB2312" w:hAnsi="仿宋_GB2312" w:eastAsia="仿宋_GB2312" w:cs="仿宋_GB2312"/>
          <w:kern w:val="0"/>
          <w:sz w:val="32"/>
          <w:szCs w:val="32"/>
        </w:rPr>
        <w:t>和技术负责人</w:t>
      </w:r>
      <w:r>
        <w:rPr>
          <w:rFonts w:hint="eastAsia" w:ascii="仿宋_GB2312" w:hAnsi="仿宋_GB2312" w:eastAsia="仿宋_GB2312" w:cs="仿宋_GB2312"/>
          <w:sz w:val="32"/>
          <w:szCs w:val="32"/>
        </w:rPr>
        <w:t>应为本医疗机构在册的执业医师、具有副高级以上卫生专业临床技术职务任职资格</w:t>
      </w:r>
      <w:r>
        <w:rPr>
          <w:rFonts w:hint="eastAsia" w:ascii="仿宋_GB2312" w:eastAsia="仿宋_GB2312"/>
          <w:sz w:val="32"/>
          <w:szCs w:val="32"/>
          <w:lang w:eastAsia="zh-CN"/>
        </w:rPr>
        <w:t>”中“临床”的认定，以</w:t>
      </w:r>
      <w:r>
        <w:rPr>
          <w:rFonts w:hint="eastAsia" w:ascii="仿宋_GB2312" w:hAnsi="仿宋_GB2312" w:eastAsia="仿宋_GB2312" w:cs="仿宋_GB2312"/>
          <w:sz w:val="32"/>
          <w:szCs w:val="32"/>
        </w:rPr>
        <w:t>质量负责人</w:t>
      </w:r>
      <w:r>
        <w:rPr>
          <w:rFonts w:hint="eastAsia" w:ascii="仿宋_GB2312" w:hAnsi="仿宋_GB2312" w:eastAsia="仿宋_GB2312" w:cs="仿宋_GB2312"/>
          <w:kern w:val="0"/>
          <w:sz w:val="32"/>
          <w:szCs w:val="32"/>
        </w:rPr>
        <w:t>和技术负责人</w:t>
      </w:r>
      <w:r>
        <w:rPr>
          <w:rFonts w:hint="eastAsia" w:ascii="仿宋_GB2312" w:hAnsi="仿宋_GB2312" w:eastAsia="仿宋_GB2312" w:cs="仿宋_GB2312"/>
          <w:kern w:val="0"/>
          <w:sz w:val="32"/>
          <w:szCs w:val="32"/>
          <w:lang w:eastAsia="zh-CN"/>
        </w:rPr>
        <w:t>取得的《</w:t>
      </w:r>
      <w:r>
        <w:rPr>
          <w:rFonts w:hint="eastAsia" w:ascii="仿宋_GB2312" w:eastAsia="仿宋_GB2312"/>
          <w:sz w:val="32"/>
          <w:szCs w:val="32"/>
          <w:lang w:eastAsia="zh-CN"/>
        </w:rPr>
        <w:t>医师资格证书</w:t>
      </w:r>
      <w:r>
        <w:rPr>
          <w:rFonts w:hint="eastAsia" w:ascii="仿宋_GB2312" w:hAnsi="仿宋_GB2312" w:eastAsia="仿宋_GB2312" w:cs="仿宋_GB2312"/>
          <w:kern w:val="0"/>
          <w:sz w:val="32"/>
          <w:szCs w:val="32"/>
          <w:lang w:eastAsia="zh-CN"/>
        </w:rPr>
        <w:t>》</w:t>
      </w:r>
      <w:r>
        <w:rPr>
          <w:rFonts w:hint="eastAsia" w:ascii="仿宋_GB2312" w:eastAsia="仿宋_GB2312"/>
          <w:sz w:val="32"/>
          <w:szCs w:val="32"/>
          <w:lang w:eastAsia="zh-CN"/>
        </w:rPr>
        <w:t>为准</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eastAsia="仿宋_GB2312"/>
          <w:sz w:val="32"/>
          <w:szCs w:val="32"/>
          <w:lang w:eastAsia="zh-CN"/>
        </w:rPr>
        <w:t>五、关于《广东省卫生健康委员会职业健康检查机构备案实施办法》第二十一条中“职业健康检查机构不得将职业健康检查项目以违规分包”的理解</w:t>
      </w:r>
      <w:r>
        <w:rPr>
          <w:rFonts w:hint="eastAsia" w:ascii="仿宋_GB2312" w:eastAsia="仿宋_GB2312"/>
          <w:sz w:val="32"/>
          <w:szCs w:val="32"/>
        </w:rPr>
        <w:t>。</w:t>
      </w:r>
      <w:r>
        <w:rPr>
          <w:rFonts w:hint="eastAsia" w:ascii="仿宋_GB2312" w:eastAsia="仿宋_GB2312"/>
          <w:sz w:val="32"/>
          <w:szCs w:val="32"/>
          <w:lang w:eastAsia="zh-CN"/>
        </w:rPr>
        <w:t>一是国家法律、法规和国家卫生健康委部门令等上位法规定职业健康检查项目可以分包的，可以依法分包。二是完成职业健康检查项目备案的职业健康检查机构因个别设备检修等原因导致相关项目暂时不能开展的，可将该项目暂时委托给已完成该职业健康检查项目备案工作的其他职业健康检查机构。除以上两种情况外，职业健康检查机构不得将职业健康检查项目分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六、医疗卫生机构</w:t>
      </w:r>
      <w:r>
        <w:rPr>
          <w:rFonts w:hint="eastAsia" w:ascii="仿宋_GB2312" w:eastAsia="仿宋_GB2312"/>
          <w:sz w:val="32"/>
          <w:szCs w:val="32"/>
        </w:rPr>
        <w:t>在向省卫生健康委申请职业健康检查备案前</w:t>
      </w:r>
      <w:r>
        <w:rPr>
          <w:rFonts w:hint="eastAsia" w:ascii="仿宋_GB2312" w:eastAsia="仿宋_GB2312"/>
          <w:sz w:val="32"/>
          <w:szCs w:val="32"/>
          <w:lang w:eastAsia="zh-CN"/>
        </w:rPr>
        <w:t>，需</w:t>
      </w:r>
      <w:r>
        <w:rPr>
          <w:rFonts w:hint="eastAsia" w:ascii="仿宋_GB2312" w:eastAsia="仿宋_GB2312"/>
          <w:sz w:val="32"/>
          <w:szCs w:val="32"/>
        </w:rPr>
        <w:t>取得职业健康检查质量控制中心出具的信息对接证明</w:t>
      </w:r>
      <w:r>
        <w:rPr>
          <w:rFonts w:hint="eastAsia" w:ascii="仿宋_GB2312" w:eastAsia="仿宋_GB2312"/>
          <w:sz w:val="32"/>
          <w:szCs w:val="32"/>
          <w:lang w:eastAsia="zh-CN"/>
        </w:rPr>
        <w:t>（具体见附件</w:t>
      </w:r>
      <w:r>
        <w:rPr>
          <w:rFonts w:hint="eastAsia" w:ascii="仿宋_GB2312" w:eastAsia="仿宋_GB2312"/>
          <w:sz w:val="32"/>
          <w:szCs w:val="32"/>
          <w:lang w:val="en-US" w:eastAsia="zh-CN"/>
        </w:rPr>
        <w:t>5</w:t>
      </w:r>
      <w:r>
        <w:rPr>
          <w:rFonts w:hint="eastAsia" w:ascii="仿宋_GB2312" w:eastAsia="仿宋_GB2312"/>
          <w:sz w:val="32"/>
          <w:szCs w:val="32"/>
          <w:lang w:eastAsia="zh-CN"/>
        </w:rPr>
        <w:t>）</w:t>
      </w:r>
      <w:r>
        <w:rPr>
          <w:rFonts w:hint="eastAsia" w:ascii="仿宋_GB2312" w:eastAsia="仿宋_GB2312"/>
          <w:sz w:val="32"/>
          <w:szCs w:val="32"/>
        </w:rPr>
        <w:t>。</w:t>
      </w:r>
    </w:p>
    <w:p>
      <w:pPr>
        <w:numPr>
          <w:ilvl w:val="0"/>
          <w:numId w:val="0"/>
        </w:numPr>
        <w:spacing w:line="300" w:lineRule="auto"/>
        <w:ind w:firstLine="640" w:firstLineChars="200"/>
        <w:jc w:val="left"/>
      </w:pPr>
      <w:r>
        <w:rPr>
          <w:rFonts w:hint="eastAsia" w:ascii="仿宋_GB2312" w:eastAsia="仿宋_GB2312"/>
          <w:sz w:val="32"/>
          <w:szCs w:val="32"/>
          <w:lang w:eastAsia="zh-CN"/>
        </w:rPr>
        <w:t>七、医疗卫生机构申请备案开展放射因素类职业健康检查的，广东省职业健康检查质量控制中心在接到申请后应及时组织3名以上相关专家进行现场查验、考核，合格后向申请机构出具染色体畸变分析及微核分析能力证明（具体见附件</w:t>
      </w:r>
      <w:r>
        <w:rPr>
          <w:rFonts w:hint="eastAsia" w:ascii="仿宋_GB2312" w:eastAsia="仿宋_GB2312"/>
          <w:sz w:val="32"/>
          <w:szCs w:val="32"/>
          <w:lang w:val="en-US" w:eastAsia="zh-CN"/>
        </w:rPr>
        <w:t>6</w:t>
      </w:r>
      <w:r>
        <w:rPr>
          <w:rFonts w:hint="eastAsia" w:ascii="仿宋_GB2312" w:eastAsia="仿宋_GB2312"/>
          <w:sz w:val="32"/>
          <w:szCs w:val="32"/>
          <w:lang w:eastAsia="zh-CN"/>
        </w:rPr>
        <w:t>）</w:t>
      </w:r>
      <w:r>
        <w:rPr>
          <w:rFonts w:hint="eastAsia" w:ascii="仿宋_GB2312" w:eastAsia="仿宋_GB2312"/>
          <w:sz w:val="32"/>
          <w:szCs w:val="32"/>
        </w:rPr>
        <w:t>。</w:t>
      </w:r>
    </w:p>
    <w:p>
      <w:pPr>
        <w:spacing w:beforeLines="0" w:afterLines="0" w:line="380" w:lineRule="exact"/>
        <w:ind w:firstLine="640"/>
        <w:jc w:val="left"/>
        <w:rPr>
          <w:rFonts w:hint="eastAsia" w:ascii="仿宋_GB2312" w:hAnsi="仿宋_GB2312" w:eastAsia="仿宋_GB2312" w:cs="仿宋_GB2312"/>
          <w:bCs/>
          <w:color w:val="000000"/>
          <w:sz w:val="32"/>
          <w:szCs w:val="32"/>
          <w:lang w:val="en-US" w:eastAsia="zh-CN"/>
        </w:rPr>
      </w:pPr>
    </w:p>
    <w:p>
      <w:pPr>
        <w:spacing w:beforeLines="0" w:afterLines="0" w:line="380" w:lineRule="exact"/>
        <w:ind w:firstLine="640"/>
        <w:jc w:val="left"/>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附件：1.广东省职业健康检查机构申请备案医疗卫生技术人</w:t>
      </w:r>
    </w:p>
    <w:p>
      <w:pPr>
        <w:spacing w:beforeLines="0" w:afterLines="0" w:line="380" w:lineRule="exact"/>
        <w:ind w:firstLine="1929" w:firstLineChars="603"/>
        <w:jc w:val="left"/>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员配置条件规范</w:t>
      </w:r>
    </w:p>
    <w:p>
      <w:pPr>
        <w:spacing w:beforeLines="0" w:afterLines="0" w:line="380" w:lineRule="exact"/>
        <w:ind w:firstLine="640"/>
        <w:jc w:val="left"/>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 xml:space="preserve">      2.广东省职业健康检查机构申请备案设备（仪器、车</w:t>
      </w:r>
    </w:p>
    <w:p>
      <w:pPr>
        <w:spacing w:beforeLines="0" w:afterLines="0" w:line="380" w:lineRule="exact"/>
        <w:ind w:firstLine="1920" w:firstLineChars="600"/>
        <w:jc w:val="left"/>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辆）配置条件规范</w:t>
      </w:r>
    </w:p>
    <w:p>
      <w:pPr>
        <w:spacing w:beforeLines="0" w:afterLines="0" w:line="380" w:lineRule="exact"/>
        <w:ind w:firstLine="640"/>
        <w:jc w:val="left"/>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 xml:space="preserve">      3.广东省职业健康检查机构申请备案质量管理制度条</w:t>
      </w:r>
    </w:p>
    <w:p>
      <w:pPr>
        <w:spacing w:beforeLines="0" w:afterLines="0" w:line="380" w:lineRule="exact"/>
        <w:ind w:firstLine="1929" w:firstLineChars="603"/>
        <w:jc w:val="left"/>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件规范</w:t>
      </w:r>
    </w:p>
    <w:p>
      <w:pPr>
        <w:spacing w:beforeLines="0" w:afterLines="0" w:line="380" w:lineRule="exact"/>
        <w:ind w:firstLine="640"/>
        <w:jc w:val="left"/>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 xml:space="preserve">      4.广东省职业健康检查机构申请备案信息报告条件规</w:t>
      </w:r>
    </w:p>
    <w:p>
      <w:pPr>
        <w:spacing w:beforeLines="0" w:afterLines="0" w:line="380" w:lineRule="exact"/>
        <w:ind w:firstLine="1929" w:firstLineChars="603"/>
        <w:jc w:val="left"/>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范</w:t>
      </w:r>
    </w:p>
    <w:p>
      <w:pPr>
        <w:spacing w:beforeLines="0" w:afterLines="0" w:line="380" w:lineRule="exact"/>
        <w:ind w:firstLine="640"/>
        <w:jc w:val="left"/>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 xml:space="preserve">      5.广东省职业健康检查机构开展职业健康检查项目备</w:t>
      </w:r>
    </w:p>
    <w:p>
      <w:pPr>
        <w:spacing w:beforeLines="0" w:afterLines="0" w:line="380" w:lineRule="exact"/>
        <w:ind w:firstLine="1929" w:firstLineChars="603"/>
        <w:jc w:val="left"/>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案信息对接证明表</w:t>
      </w:r>
    </w:p>
    <w:p>
      <w:pPr>
        <w:spacing w:beforeLines="0" w:afterLines="0" w:line="380" w:lineRule="exact"/>
        <w:ind w:left="199" w:leftChars="95" w:firstLine="652" w:firstLineChars="204"/>
        <w:jc w:val="left"/>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 xml:space="preserve">     6.广东省职业健康检查质量控制中心染色体畸变分</w:t>
      </w:r>
    </w:p>
    <w:p>
      <w:pPr>
        <w:spacing w:beforeLines="0" w:afterLines="0" w:line="380" w:lineRule="exact"/>
        <w:ind w:left="199" w:leftChars="95" w:firstLine="1603" w:firstLineChars="501"/>
        <w:jc w:val="left"/>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析及微核分析能力证明</w:t>
      </w:r>
    </w:p>
    <w:p>
      <w:pPr>
        <w:spacing w:beforeLines="0" w:afterLines="0" w:line="380" w:lineRule="exact"/>
        <w:jc w:val="left"/>
        <w:rPr>
          <w:rFonts w:hint="eastAsia" w:ascii="黑体" w:hAnsi="黑体" w:eastAsia="黑体" w:cs="黑体"/>
          <w:bCs/>
          <w:color w:val="000000"/>
          <w:sz w:val="32"/>
          <w:szCs w:val="32"/>
        </w:rPr>
      </w:pPr>
    </w:p>
    <w:p>
      <w:pPr>
        <w:spacing w:line="300" w:lineRule="auto"/>
        <w:jc w:val="left"/>
        <w:rPr>
          <w:rFonts w:hint="eastAsia" w:ascii="黑体" w:hAnsi="黑体" w:eastAsia="黑体" w:cs="黑体"/>
          <w:bCs/>
          <w:color w:val="000000"/>
          <w:sz w:val="32"/>
          <w:szCs w:val="32"/>
        </w:rPr>
      </w:pPr>
      <w:r>
        <w:rPr>
          <w:rFonts w:hint="eastAsia" w:ascii="黑体" w:hAnsi="黑体" w:eastAsia="黑体" w:cs="黑体"/>
          <w:bCs/>
          <w:color w:val="000000"/>
          <w:sz w:val="32"/>
          <w:szCs w:val="32"/>
        </w:rPr>
        <w:t>附件1</w:t>
      </w:r>
    </w:p>
    <w:p>
      <w:pPr>
        <w:jc w:val="center"/>
        <w:rPr>
          <w:rFonts w:hint="eastAsia" w:ascii="宋体" w:hAnsi="宋体" w:eastAsia="宋体" w:cs="宋体"/>
          <w:b/>
          <w:bCs/>
          <w:sz w:val="44"/>
          <w:szCs w:val="44"/>
        </w:rPr>
      </w:pPr>
      <w:r>
        <w:rPr>
          <w:rFonts w:hint="eastAsia" w:ascii="宋体" w:hAnsi="宋体" w:eastAsia="宋体" w:cs="宋体"/>
          <w:b/>
          <w:bCs/>
          <w:sz w:val="44"/>
          <w:szCs w:val="44"/>
        </w:rPr>
        <w:t>广东省职业健康检查机构申请备案</w:t>
      </w:r>
    </w:p>
    <w:p>
      <w:pPr>
        <w:jc w:val="center"/>
        <w:rPr>
          <w:rFonts w:hint="eastAsia" w:ascii="宋体" w:hAnsi="宋体" w:eastAsia="宋体" w:cs="宋体"/>
          <w:bCs/>
          <w:color w:val="000000"/>
          <w:sz w:val="44"/>
          <w:szCs w:val="44"/>
        </w:rPr>
      </w:pPr>
      <w:r>
        <w:rPr>
          <w:rFonts w:hint="eastAsia" w:ascii="宋体" w:hAnsi="宋体" w:eastAsia="宋体" w:cs="宋体"/>
          <w:b/>
          <w:bCs/>
          <w:sz w:val="44"/>
          <w:szCs w:val="44"/>
        </w:rPr>
        <w:t>医疗卫生技术人员配置条件规范</w:t>
      </w:r>
    </w:p>
    <w:tbl>
      <w:tblPr>
        <w:tblStyle w:val="6"/>
        <w:tblW w:w="90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847"/>
        <w:gridCol w:w="5768"/>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36" w:type="dxa"/>
            <w:gridSpan w:val="2"/>
            <w:noWrap w:val="0"/>
            <w:vAlign w:val="top"/>
          </w:tcPr>
          <w:p>
            <w:pPr>
              <w:rPr>
                <w:rFonts w:hint="eastAsia" w:ascii="仿宋_GB2312" w:hAnsi="仿宋_GB2312" w:eastAsia="仿宋_GB2312" w:cs="仿宋_GB2312"/>
                <w:sz w:val="28"/>
                <w:szCs w:val="28"/>
              </w:rPr>
            </w:pPr>
            <w:bookmarkStart w:id="0" w:name="_GoBack"/>
            <w:r>
              <w:rPr>
                <w:rFonts w:hint="eastAsia" w:ascii="仿宋_GB2312" w:hAnsi="仿宋_GB2312" w:eastAsia="仿宋_GB2312" w:cs="仿宋_GB2312"/>
                <w:sz w:val="28"/>
                <w:szCs w:val="28"/>
              </w:rPr>
              <w:t>机构名称</w:t>
            </w:r>
          </w:p>
        </w:tc>
        <w:tc>
          <w:tcPr>
            <w:tcW w:w="7670" w:type="dxa"/>
            <w:gridSpan w:val="2"/>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6" w:type="dxa"/>
            <w:gridSpan w:val="2"/>
            <w:noWrap w:val="0"/>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5768"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申请备案医疗卫生技术人员配置条件规范</w:t>
            </w:r>
          </w:p>
        </w:tc>
        <w:tc>
          <w:tcPr>
            <w:tcW w:w="1902" w:type="dxa"/>
            <w:noWrap w:val="0"/>
            <w:vAlign w:val="top"/>
          </w:tcPr>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需提供佐证</w:t>
            </w: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6" w:type="dxa"/>
            <w:gridSpan w:val="2"/>
            <w:noWrap w:val="0"/>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职业资格要求</w:t>
            </w:r>
          </w:p>
        </w:tc>
        <w:tc>
          <w:tcPr>
            <w:tcW w:w="5768" w:type="dxa"/>
            <w:noWrap w:val="0"/>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从事职业健康检查的医师须取得执业医师资格，护士须取得护士资格证，并在本机构注册登记。</w:t>
            </w:r>
          </w:p>
        </w:tc>
        <w:tc>
          <w:tcPr>
            <w:tcW w:w="1902" w:type="dxa"/>
            <w:noWrap w:val="0"/>
            <w:vAlign w:val="top"/>
          </w:tcPr>
          <w:p>
            <w:pP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提供医生和护士资格证书扫描件，并附卫生健康部门开具的第一执业地点证明原件。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6" w:type="dxa"/>
            <w:gridSpan w:val="2"/>
            <w:noWrap w:val="0"/>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购买社会保险要求</w:t>
            </w:r>
          </w:p>
        </w:tc>
        <w:tc>
          <w:tcPr>
            <w:tcW w:w="5768" w:type="dxa"/>
            <w:noWrap w:val="0"/>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职业健康检查专业技术人员购买四种及以上社会保险（至少包括基本养老保险、基本医疗保险、工伤保险、失业保险）。备案所需有效人员中退休职业健康检查技术人员不超2名。</w:t>
            </w:r>
          </w:p>
        </w:tc>
        <w:tc>
          <w:tcPr>
            <w:tcW w:w="1902" w:type="dxa"/>
            <w:noWrap w:val="0"/>
            <w:vAlign w:val="top"/>
          </w:tcPr>
          <w:p>
            <w:pP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提供社保部门开具的社保证明原件。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336" w:type="dxa"/>
            <w:gridSpan w:val="2"/>
            <w:noWrap w:val="0"/>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基本人员配置要求</w:t>
            </w:r>
          </w:p>
        </w:tc>
        <w:tc>
          <w:tcPr>
            <w:tcW w:w="5768" w:type="dxa"/>
            <w:noWrap w:val="0"/>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职业健康检查体格检查医师至少2名，五官科医师至少1名；心电图检查医师至少1名;放射阅片医师至少2名，护士至少2名。(执业医师包括临床\公卫\口腔\中医等类别) </w:t>
            </w:r>
          </w:p>
        </w:tc>
        <w:tc>
          <w:tcPr>
            <w:tcW w:w="1902" w:type="dxa"/>
            <w:noWrap w:val="0"/>
            <w:vAlign w:val="top"/>
          </w:tcPr>
          <w:p>
            <w:pP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提供各科医师和人员的执业证书扫描件。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jc w:val="center"/>
        </w:trPr>
        <w:tc>
          <w:tcPr>
            <w:tcW w:w="489" w:type="dxa"/>
            <w:vMerge w:val="restart"/>
            <w:noWrap w:val="0"/>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各类职业健康检查岗位人员配置要求</w:t>
            </w:r>
          </w:p>
          <w:p>
            <w:pPr>
              <w:rPr>
                <w:rFonts w:hint="eastAsia" w:ascii="仿宋_GB2312" w:hAnsi="仿宋_GB2312" w:eastAsia="仿宋_GB2312" w:cs="仿宋_GB2312"/>
                <w:color w:val="auto"/>
                <w:sz w:val="28"/>
                <w:szCs w:val="28"/>
              </w:rPr>
            </w:pPr>
          </w:p>
        </w:tc>
        <w:tc>
          <w:tcPr>
            <w:tcW w:w="847" w:type="dxa"/>
            <w:noWrap w:val="0"/>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粉尘类</w:t>
            </w:r>
          </w:p>
        </w:tc>
        <w:tc>
          <w:tcPr>
            <w:tcW w:w="5768" w:type="dxa"/>
            <w:noWrap w:val="0"/>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主检医师至少1名具备职业性尘肺病诊断医师资格，肺功能检查医师至少1名。</w:t>
            </w:r>
          </w:p>
        </w:tc>
        <w:tc>
          <w:tcPr>
            <w:tcW w:w="1902" w:type="dxa"/>
            <w:noWrap w:val="0"/>
            <w:vAlign w:val="top"/>
          </w:tcPr>
          <w:p>
            <w:pP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提供各类人员的执业证书扫描件、职业病诊断医师资格证明扫描件。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2" w:hRule="atLeast"/>
          <w:jc w:val="center"/>
        </w:trPr>
        <w:tc>
          <w:tcPr>
            <w:tcW w:w="489" w:type="dxa"/>
            <w:vMerge w:val="continue"/>
            <w:noWrap w:val="0"/>
            <w:vAlign w:val="top"/>
          </w:tcPr>
          <w:p>
            <w:pPr>
              <w:rPr>
                <w:rFonts w:hint="eastAsia" w:ascii="仿宋_GB2312" w:hAnsi="仿宋_GB2312" w:eastAsia="仿宋_GB2312" w:cs="仿宋_GB2312"/>
                <w:color w:val="auto"/>
                <w:sz w:val="28"/>
                <w:szCs w:val="28"/>
              </w:rPr>
            </w:pPr>
          </w:p>
        </w:tc>
        <w:tc>
          <w:tcPr>
            <w:tcW w:w="847" w:type="dxa"/>
            <w:noWrap w:val="0"/>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化学因素类</w:t>
            </w:r>
          </w:p>
        </w:tc>
        <w:tc>
          <w:tcPr>
            <w:tcW w:w="5768" w:type="dxa"/>
            <w:noWrap w:val="0"/>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主检医师至少1名具备职业性化学中毒职业病诊断医师资格，彩色B超检查医师至少1名，肺功能检查医师至少1名。</w:t>
            </w:r>
            <w:r>
              <w:rPr>
                <w:rFonts w:hint="eastAsia" w:ascii="仿宋_GB2312" w:hAnsi="仿宋_GB2312" w:eastAsia="仿宋_GB2312" w:cs="仿宋_GB2312"/>
                <w:color w:val="auto"/>
                <w:kern w:val="0"/>
                <w:sz w:val="28"/>
                <w:szCs w:val="28"/>
              </w:rPr>
              <w:t>（备案甲醇、三硝基甲苯等导致职业性眼病的化学物必须有1名医师具备眼科执业医师资质）。</w:t>
            </w:r>
          </w:p>
        </w:tc>
        <w:tc>
          <w:tcPr>
            <w:tcW w:w="1902" w:type="dxa"/>
            <w:noWrap w:val="0"/>
            <w:vAlign w:val="top"/>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提供各类人员的执业证书扫描件、职业病诊断医师资格证明扫描件。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489" w:type="dxa"/>
            <w:vMerge w:val="continue"/>
            <w:noWrap w:val="0"/>
            <w:vAlign w:val="top"/>
          </w:tcPr>
          <w:p>
            <w:pPr>
              <w:rPr>
                <w:rFonts w:hint="eastAsia" w:ascii="仿宋_GB2312" w:hAnsi="仿宋_GB2312" w:eastAsia="仿宋_GB2312" w:cs="仿宋_GB2312"/>
                <w:color w:val="auto"/>
                <w:sz w:val="28"/>
                <w:szCs w:val="28"/>
              </w:rPr>
            </w:pPr>
          </w:p>
        </w:tc>
        <w:tc>
          <w:tcPr>
            <w:tcW w:w="847" w:type="dxa"/>
            <w:noWrap w:val="0"/>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物理因素类</w:t>
            </w:r>
          </w:p>
        </w:tc>
        <w:tc>
          <w:tcPr>
            <w:tcW w:w="5768" w:type="dxa"/>
            <w:noWrap w:val="0"/>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主检医师至少1名具备物理因素所致职业病和（或）职业性耳鼻喉口腔疾病诊断医师资格，听力检查医师至少2名。</w:t>
            </w:r>
            <w:r>
              <w:rPr>
                <w:rFonts w:hint="eastAsia" w:ascii="仿宋_GB2312" w:hAnsi="仿宋_GB2312" w:eastAsia="仿宋_GB2312" w:cs="仿宋_GB2312"/>
                <w:color w:val="auto"/>
                <w:kern w:val="0"/>
                <w:sz w:val="28"/>
                <w:szCs w:val="28"/>
              </w:rPr>
              <w:t>（备案微波、激光、紫外线项目必须有1名医师具备眼科执业医师资质）。</w:t>
            </w:r>
          </w:p>
        </w:tc>
        <w:tc>
          <w:tcPr>
            <w:tcW w:w="1902" w:type="dxa"/>
            <w:noWrap w:val="0"/>
            <w:vAlign w:val="top"/>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提供各类人员的执业证书扫描件、职业病诊断医师资格证明扫描件。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jc w:val="center"/>
        </w:trPr>
        <w:tc>
          <w:tcPr>
            <w:tcW w:w="489" w:type="dxa"/>
            <w:vMerge w:val="continue"/>
            <w:noWrap w:val="0"/>
            <w:vAlign w:val="top"/>
          </w:tcPr>
          <w:p>
            <w:pPr>
              <w:rPr>
                <w:rFonts w:hint="eastAsia" w:ascii="仿宋_GB2312" w:hAnsi="仿宋_GB2312" w:eastAsia="仿宋_GB2312" w:cs="仿宋_GB2312"/>
                <w:color w:val="auto"/>
                <w:sz w:val="28"/>
                <w:szCs w:val="28"/>
              </w:rPr>
            </w:pPr>
          </w:p>
        </w:tc>
        <w:tc>
          <w:tcPr>
            <w:tcW w:w="847" w:type="dxa"/>
            <w:noWrap w:val="0"/>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生物因素类</w:t>
            </w:r>
          </w:p>
        </w:tc>
        <w:tc>
          <w:tcPr>
            <w:tcW w:w="5768" w:type="dxa"/>
            <w:noWrap w:val="0"/>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主检医师至少1名具备综合类职业病诊断医师资格，彩色B超检查医师至少1名，肺功能检查医师至少1名。</w:t>
            </w:r>
          </w:p>
        </w:tc>
        <w:tc>
          <w:tcPr>
            <w:tcW w:w="1902" w:type="dxa"/>
            <w:noWrap w:val="0"/>
            <w:vAlign w:val="top"/>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提供各类人员的执业证书扫描件、职业病诊断医师资格证明扫描件。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489" w:type="dxa"/>
            <w:vMerge w:val="continue"/>
            <w:noWrap w:val="0"/>
            <w:vAlign w:val="top"/>
          </w:tcPr>
          <w:p>
            <w:pPr>
              <w:rPr>
                <w:rFonts w:hint="eastAsia" w:ascii="仿宋_GB2312" w:hAnsi="仿宋_GB2312" w:eastAsia="仿宋_GB2312" w:cs="仿宋_GB2312"/>
                <w:color w:val="auto"/>
                <w:sz w:val="28"/>
                <w:szCs w:val="28"/>
              </w:rPr>
            </w:pPr>
          </w:p>
        </w:tc>
        <w:tc>
          <w:tcPr>
            <w:tcW w:w="847" w:type="dxa"/>
            <w:noWrap w:val="0"/>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放射因素类</w:t>
            </w:r>
          </w:p>
        </w:tc>
        <w:tc>
          <w:tcPr>
            <w:tcW w:w="5768" w:type="dxa"/>
            <w:noWrap w:val="0"/>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主检医师至少1名具备职业性放射性疾病诊断医师资格，眼科执业医师1名，彩色B超检查医师至少1名。</w:t>
            </w:r>
          </w:p>
        </w:tc>
        <w:tc>
          <w:tcPr>
            <w:tcW w:w="1902" w:type="dxa"/>
            <w:noWrap w:val="0"/>
            <w:vAlign w:val="top"/>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提供各类人员的执业证书扫描件、职业病诊断医师资格证明扫描件。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489" w:type="dxa"/>
            <w:vMerge w:val="continue"/>
            <w:noWrap w:val="0"/>
            <w:vAlign w:val="top"/>
          </w:tcPr>
          <w:p>
            <w:pPr>
              <w:rPr>
                <w:rFonts w:hint="eastAsia" w:ascii="仿宋_GB2312" w:hAnsi="仿宋_GB2312" w:eastAsia="仿宋_GB2312" w:cs="仿宋_GB2312"/>
                <w:color w:val="auto"/>
                <w:sz w:val="28"/>
                <w:szCs w:val="28"/>
              </w:rPr>
            </w:pPr>
          </w:p>
        </w:tc>
        <w:tc>
          <w:tcPr>
            <w:tcW w:w="847" w:type="dxa"/>
            <w:noWrap w:val="0"/>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4"/>
                <w:szCs w:val="24"/>
              </w:rPr>
              <w:t>其他类（特殊作业等）</w:t>
            </w:r>
          </w:p>
        </w:tc>
        <w:tc>
          <w:tcPr>
            <w:tcW w:w="5768" w:type="dxa"/>
            <w:noWrap w:val="0"/>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主检医师至少1名具备职业病诊断医师资格，听力检查医师至少1名。</w:t>
            </w:r>
          </w:p>
        </w:tc>
        <w:tc>
          <w:tcPr>
            <w:tcW w:w="1902" w:type="dxa"/>
            <w:noWrap w:val="0"/>
            <w:vAlign w:val="top"/>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提供各类人员的执业证书扫描件、职业病诊断医师资格证明扫描件。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6" w:type="dxa"/>
            <w:gridSpan w:val="2"/>
            <w:noWrap w:val="0"/>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质量和技术负责人资质要求</w:t>
            </w:r>
          </w:p>
        </w:tc>
        <w:tc>
          <w:tcPr>
            <w:tcW w:w="5768" w:type="dxa"/>
            <w:noWrap w:val="0"/>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质量负责人</w:t>
            </w:r>
            <w:r>
              <w:rPr>
                <w:rFonts w:hint="eastAsia" w:ascii="仿宋_GB2312" w:hAnsi="仿宋_GB2312" w:eastAsia="仿宋_GB2312" w:cs="仿宋_GB2312"/>
                <w:color w:val="auto"/>
                <w:kern w:val="0"/>
                <w:sz w:val="28"/>
                <w:szCs w:val="28"/>
              </w:rPr>
              <w:t>和技术负责人</w:t>
            </w:r>
            <w:r>
              <w:rPr>
                <w:rFonts w:hint="eastAsia" w:ascii="仿宋_GB2312" w:hAnsi="仿宋_GB2312" w:eastAsia="仿宋_GB2312" w:cs="仿宋_GB2312"/>
                <w:color w:val="auto"/>
                <w:sz w:val="28"/>
                <w:szCs w:val="28"/>
              </w:rPr>
              <w:t>应为本医疗机构在册的执业医师、具有副高级以上卫生专业临床技术职务任职资格、熟悉职业病诊断相关法律法规、标准、技术规范。</w:t>
            </w:r>
          </w:p>
        </w:tc>
        <w:tc>
          <w:tcPr>
            <w:tcW w:w="1902" w:type="dxa"/>
            <w:noWrap w:val="0"/>
            <w:vAlign w:val="top"/>
          </w:tcPr>
          <w:p>
            <w:pP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提供医师资格证书、</w:t>
            </w:r>
            <w:r>
              <w:rPr>
                <w:rFonts w:hint="eastAsia" w:ascii="仿宋_GB2312" w:hAnsi="仿宋_GB2312" w:eastAsia="仿宋_GB2312" w:cs="仿宋_GB2312"/>
                <w:color w:val="auto"/>
                <w:sz w:val="21"/>
                <w:szCs w:val="21"/>
                <w:lang w:val="en-US" w:eastAsia="zh-CN"/>
              </w:rPr>
              <w:t>医师执业证书、</w:t>
            </w:r>
            <w:r>
              <w:rPr>
                <w:rFonts w:hint="eastAsia" w:ascii="仿宋_GB2312" w:hAnsi="仿宋_GB2312" w:eastAsia="仿宋_GB2312" w:cs="仿宋_GB2312"/>
                <w:color w:val="auto"/>
                <w:sz w:val="21"/>
                <w:szCs w:val="21"/>
                <w:lang w:eastAsia="zh-CN"/>
              </w:rPr>
              <w:t>副高以上医师资格证明、任命文件等扫描件。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6" w:type="dxa"/>
            <w:gridSpan w:val="2"/>
            <w:noWrap w:val="0"/>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质量管理部门要求</w:t>
            </w:r>
          </w:p>
        </w:tc>
        <w:tc>
          <w:tcPr>
            <w:tcW w:w="5768" w:type="dxa"/>
            <w:noWrap w:val="0"/>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质量管理部门应配有专职或兼职的质量监督员和档案管理人员。</w:t>
            </w:r>
          </w:p>
        </w:tc>
        <w:tc>
          <w:tcPr>
            <w:tcW w:w="1902" w:type="dxa"/>
            <w:noWrap w:val="0"/>
            <w:vAlign w:val="top"/>
          </w:tcPr>
          <w:p>
            <w:pP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提供</w:t>
            </w:r>
            <w:r>
              <w:rPr>
                <w:rFonts w:hint="eastAsia" w:ascii="仿宋_GB2312" w:hAnsi="仿宋_GB2312" w:eastAsia="仿宋_GB2312" w:cs="仿宋_GB2312"/>
                <w:color w:val="auto"/>
                <w:sz w:val="21"/>
                <w:szCs w:val="21"/>
              </w:rPr>
              <w:t>质量监督员和档案管理人员</w:t>
            </w:r>
            <w:r>
              <w:rPr>
                <w:rFonts w:hint="eastAsia" w:ascii="仿宋_GB2312" w:hAnsi="仿宋_GB2312" w:eastAsia="仿宋_GB2312" w:cs="仿宋_GB2312"/>
                <w:color w:val="auto"/>
                <w:sz w:val="21"/>
                <w:szCs w:val="21"/>
                <w:lang w:eastAsia="zh-CN"/>
              </w:rPr>
              <w:t>任命书扫描件。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6" w:type="dxa"/>
            <w:gridSpan w:val="2"/>
            <w:noWrap w:val="0"/>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主检医师配置要求</w:t>
            </w:r>
          </w:p>
        </w:tc>
        <w:tc>
          <w:tcPr>
            <w:tcW w:w="5768" w:type="dxa"/>
            <w:noWrap w:val="0"/>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主检医师不少于1名，具有中级以上专业技术职称和</w:t>
            </w:r>
            <w:r>
              <w:rPr>
                <w:rFonts w:hint="eastAsia" w:ascii="仿宋_GB2312" w:hAnsi="仿宋_GB2312" w:eastAsia="仿宋_GB2312" w:cs="仿宋_GB2312"/>
                <w:color w:val="auto"/>
                <w:kern w:val="0"/>
                <w:sz w:val="28"/>
                <w:szCs w:val="28"/>
              </w:rPr>
              <w:t>备案相适应的</w:t>
            </w:r>
            <w:r>
              <w:rPr>
                <w:rFonts w:hint="eastAsia" w:ascii="仿宋_GB2312" w:hAnsi="仿宋_GB2312" w:eastAsia="仿宋_GB2312" w:cs="仿宋_GB2312"/>
                <w:color w:val="auto"/>
                <w:sz w:val="28"/>
                <w:szCs w:val="28"/>
              </w:rPr>
              <w:t>职业病诊断资格，从事职业健康检查相关类别工作3年以上，熟悉职业卫生和职业病诊断相关标准。</w:t>
            </w:r>
          </w:p>
        </w:tc>
        <w:tc>
          <w:tcPr>
            <w:tcW w:w="1902" w:type="dxa"/>
            <w:noWrap w:val="0"/>
            <w:vAlign w:val="top"/>
          </w:tcPr>
          <w:p>
            <w:pP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提供主检医师任命文件扫描件。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6" w:type="dxa"/>
            <w:gridSpan w:val="2"/>
            <w:noWrap w:val="0"/>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实验室检测人员配置要求</w:t>
            </w:r>
          </w:p>
        </w:tc>
        <w:tc>
          <w:tcPr>
            <w:tcW w:w="5768" w:type="dxa"/>
            <w:noWrap w:val="0"/>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实验室检测人员不少于1名具有中级以上专业技术职称。</w:t>
            </w:r>
          </w:p>
          <w:p>
            <w:pPr>
              <w:rPr>
                <w:rFonts w:hint="eastAsia" w:ascii="仿宋_GB2312" w:hAnsi="仿宋_GB2312" w:eastAsia="仿宋_GB2312" w:cs="仿宋_GB2312"/>
                <w:color w:val="auto"/>
                <w:sz w:val="28"/>
                <w:szCs w:val="28"/>
              </w:rPr>
            </w:pPr>
          </w:p>
        </w:tc>
        <w:tc>
          <w:tcPr>
            <w:tcW w:w="1902" w:type="dxa"/>
            <w:noWrap w:val="0"/>
            <w:vAlign w:val="top"/>
          </w:tcPr>
          <w:p>
            <w:pP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提供</w:t>
            </w:r>
            <w:r>
              <w:rPr>
                <w:rFonts w:hint="eastAsia" w:ascii="仿宋_GB2312" w:hAnsi="仿宋_GB2312" w:eastAsia="仿宋_GB2312" w:cs="仿宋_GB2312"/>
                <w:color w:val="auto"/>
                <w:sz w:val="21"/>
                <w:szCs w:val="21"/>
              </w:rPr>
              <w:t>实验室检测人员</w:t>
            </w:r>
            <w:r>
              <w:rPr>
                <w:rFonts w:hint="eastAsia" w:ascii="仿宋_GB2312" w:hAnsi="仿宋_GB2312" w:eastAsia="仿宋_GB2312" w:cs="仿宋_GB2312"/>
                <w:color w:val="auto"/>
                <w:sz w:val="21"/>
                <w:szCs w:val="21"/>
                <w:lang w:eastAsia="zh-CN"/>
              </w:rPr>
              <w:t>医师资格证书、</w:t>
            </w:r>
            <w:r>
              <w:rPr>
                <w:rFonts w:hint="eastAsia" w:ascii="仿宋_GB2312" w:hAnsi="仿宋_GB2312" w:eastAsia="仿宋_GB2312" w:cs="仿宋_GB2312"/>
                <w:color w:val="auto"/>
                <w:sz w:val="21"/>
                <w:szCs w:val="21"/>
                <w:lang w:val="en-US" w:eastAsia="zh-CN"/>
              </w:rPr>
              <w:t>医师执业证书和</w:t>
            </w:r>
            <w:r>
              <w:rPr>
                <w:rFonts w:hint="eastAsia" w:ascii="仿宋_GB2312" w:hAnsi="仿宋_GB2312" w:eastAsia="仿宋_GB2312" w:cs="仿宋_GB2312"/>
                <w:color w:val="auto"/>
                <w:sz w:val="21"/>
                <w:szCs w:val="21"/>
                <w:lang w:eastAsia="zh-CN"/>
              </w:rPr>
              <w:t>中级以上职称证书扫描件。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6" w:type="dxa"/>
            <w:gridSpan w:val="2"/>
            <w:noWrap w:val="0"/>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培训要求</w:t>
            </w:r>
          </w:p>
        </w:tc>
        <w:tc>
          <w:tcPr>
            <w:tcW w:w="5768" w:type="dxa"/>
            <w:noWrap w:val="0"/>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质量负责人、</w:t>
            </w:r>
            <w:r>
              <w:rPr>
                <w:rFonts w:hint="eastAsia" w:ascii="仿宋_GB2312" w:hAnsi="仿宋_GB2312" w:eastAsia="仿宋_GB2312" w:cs="仿宋_GB2312"/>
                <w:color w:val="auto"/>
                <w:kern w:val="0"/>
                <w:sz w:val="28"/>
                <w:szCs w:val="28"/>
              </w:rPr>
              <w:t>技术负责人</w:t>
            </w:r>
            <w:r>
              <w:rPr>
                <w:rFonts w:hint="eastAsia" w:ascii="仿宋_GB2312" w:hAnsi="仿宋_GB2312" w:eastAsia="仿宋_GB2312" w:cs="仿宋_GB2312"/>
                <w:color w:val="auto"/>
                <w:sz w:val="28"/>
                <w:szCs w:val="28"/>
              </w:rPr>
              <w:t>及职业健康检查技术人员每2年取得职业健康检查法规知识培训并考核合格。</w:t>
            </w:r>
          </w:p>
        </w:tc>
        <w:tc>
          <w:tcPr>
            <w:tcW w:w="1902" w:type="dxa"/>
            <w:noWrap w:val="0"/>
            <w:vAlign w:val="top"/>
          </w:tcPr>
          <w:p>
            <w:pP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提供各类人员最近取得的职业健康检查继续教育培训证明扫描件。</w:t>
            </w:r>
          </w:p>
        </w:tc>
      </w:tr>
      <w:bookmarkEnd w:id="0"/>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Cs/>
          <w:color w:val="000000"/>
          <w:sz w:val="32"/>
          <w:szCs w:val="32"/>
        </w:rPr>
      </w:pPr>
      <w:r>
        <w:rPr>
          <w:rFonts w:hint="eastAsia" w:ascii="仿宋" w:hAnsi="仿宋" w:eastAsia="仿宋" w:cs="仿宋"/>
          <w:color w:val="auto"/>
          <w:sz w:val="28"/>
          <w:szCs w:val="28"/>
        </w:rPr>
        <w:t>备注：开展各类职业健康检查工作需要配置的人员是指基本人员配置要求</w:t>
      </w:r>
      <w:r>
        <w:rPr>
          <w:rFonts w:hint="eastAsia" w:ascii="仿宋" w:hAnsi="仿宋" w:eastAsia="仿宋" w:cs="仿宋"/>
          <w:color w:val="auto"/>
          <w:sz w:val="28"/>
          <w:szCs w:val="28"/>
          <w:lang w:eastAsia="zh-CN"/>
        </w:rPr>
        <w:t>以及</w:t>
      </w:r>
      <w:r>
        <w:rPr>
          <w:rFonts w:hint="eastAsia" w:ascii="仿宋" w:hAnsi="仿宋" w:eastAsia="仿宋" w:cs="仿宋"/>
          <w:color w:val="auto"/>
          <w:sz w:val="28"/>
          <w:szCs w:val="28"/>
        </w:rPr>
        <w:t>相应类职业健康检查岗位人员配置要求。</w:t>
      </w:r>
      <w:r>
        <w:rPr>
          <w:rFonts w:hint="eastAsia" w:ascii="黑体" w:hAnsi="黑体" w:eastAsia="黑体" w:cs="黑体"/>
          <w:bCs/>
          <w:color w:val="000000"/>
          <w:sz w:val="32"/>
          <w:szCs w:val="32"/>
        </w:rPr>
        <w:br w:type="page"/>
      </w:r>
      <w:r>
        <w:rPr>
          <w:rFonts w:hint="eastAsia" w:ascii="黑体" w:hAnsi="黑体" w:eastAsia="黑体" w:cs="黑体"/>
          <w:bCs/>
          <w:color w:val="000000"/>
          <w:sz w:val="32"/>
          <w:szCs w:val="32"/>
        </w:rPr>
        <w:t>附件2</w:t>
      </w:r>
    </w:p>
    <w:p>
      <w:pPr>
        <w:jc w:val="center"/>
        <w:rPr>
          <w:rFonts w:hint="eastAsia" w:ascii="宋体" w:hAnsi="宋体" w:eastAsia="宋体" w:cs="宋体"/>
          <w:b/>
          <w:bCs/>
          <w:sz w:val="44"/>
          <w:szCs w:val="44"/>
        </w:rPr>
      </w:pPr>
      <w:r>
        <w:rPr>
          <w:rFonts w:hint="eastAsia" w:ascii="宋体" w:hAnsi="宋体" w:eastAsia="宋体" w:cs="宋体"/>
          <w:b/>
          <w:bCs/>
          <w:sz w:val="44"/>
          <w:szCs w:val="44"/>
        </w:rPr>
        <w:t>广东省职业健康检查机构申请备案设备（仪器、车辆）配置条件规范</w:t>
      </w:r>
    </w:p>
    <w:tbl>
      <w:tblPr>
        <w:tblStyle w:val="6"/>
        <w:tblW w:w="87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816"/>
        <w:gridCol w:w="5427"/>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752" w:type="dxa"/>
            <w:gridSpan w:val="2"/>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机构名称</w:t>
            </w:r>
          </w:p>
        </w:tc>
        <w:tc>
          <w:tcPr>
            <w:tcW w:w="7015" w:type="dxa"/>
            <w:gridSpan w:val="2"/>
            <w:noWrap w:val="0"/>
            <w:vAlign w:val="center"/>
          </w:tcPr>
          <w:p>
            <w:pP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752" w:type="dxa"/>
            <w:gridSpan w:val="2"/>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项目名称</w:t>
            </w:r>
          </w:p>
        </w:tc>
        <w:tc>
          <w:tcPr>
            <w:tcW w:w="5427"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申请备案设备（仪器、车辆）配置条件规范</w:t>
            </w:r>
          </w:p>
        </w:tc>
        <w:tc>
          <w:tcPr>
            <w:tcW w:w="1588"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4"/>
                <w:szCs w:val="24"/>
              </w:rPr>
              <w:t>需提供佐证材料形式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1752" w:type="dxa"/>
            <w:gridSpan w:val="2"/>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基本设备（仪器）配置要求</w:t>
            </w:r>
          </w:p>
        </w:tc>
        <w:tc>
          <w:tcPr>
            <w:tcW w:w="5427"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血压计</w:t>
            </w:r>
            <w:r>
              <w:rPr>
                <w:rFonts w:hint="eastAsia" w:ascii="仿宋_GB2312" w:hAnsi="仿宋_GB2312" w:eastAsia="仿宋_GB2312" w:cs="仿宋_GB2312"/>
                <w:color w:val="auto"/>
                <w:sz w:val="28"/>
                <w:szCs w:val="28"/>
              </w:rPr>
              <w:t>、听诊器、叩诊锤、眼底镜、音叉、显微镜、</w:t>
            </w:r>
            <w:r>
              <w:rPr>
                <w:rFonts w:hint="eastAsia" w:ascii="仿宋_GB2312" w:hAnsi="仿宋_GB2312" w:eastAsia="仿宋_GB2312" w:cs="仿宋_GB2312"/>
                <w:b/>
                <w:color w:val="auto"/>
                <w:sz w:val="28"/>
                <w:szCs w:val="28"/>
              </w:rPr>
              <w:t>分光光度计</w:t>
            </w:r>
            <w:r>
              <w:rPr>
                <w:rFonts w:hint="eastAsia" w:ascii="仿宋_GB2312" w:hAnsi="仿宋_GB2312" w:eastAsia="仿宋_GB2312" w:cs="仿宋_GB2312"/>
                <w:color w:val="auto"/>
                <w:sz w:val="28"/>
                <w:szCs w:val="28"/>
              </w:rPr>
              <w:t>、离心机、电泳仪、</w:t>
            </w:r>
            <w:r>
              <w:rPr>
                <w:rFonts w:hint="eastAsia" w:ascii="仿宋_GB2312" w:hAnsi="仿宋_GB2312" w:eastAsia="仿宋_GB2312" w:cs="仿宋_GB2312"/>
                <w:b/>
                <w:color w:val="auto"/>
                <w:sz w:val="28"/>
                <w:szCs w:val="28"/>
              </w:rPr>
              <w:t>水浴箱</w:t>
            </w:r>
            <w:r>
              <w:rPr>
                <w:rFonts w:hint="eastAsia" w:ascii="仿宋_GB2312" w:hAnsi="仿宋_GB2312" w:eastAsia="仿宋_GB2312" w:cs="仿宋_GB2312"/>
                <w:color w:val="auto"/>
                <w:sz w:val="28"/>
                <w:szCs w:val="28"/>
              </w:rPr>
              <w:t>、干燥箱、尿常规分析仪、</w:t>
            </w:r>
            <w:r>
              <w:rPr>
                <w:rFonts w:hint="eastAsia" w:ascii="仿宋_GB2312" w:hAnsi="仿宋_GB2312" w:eastAsia="仿宋_GB2312" w:cs="仿宋_GB2312"/>
                <w:b/>
                <w:color w:val="auto"/>
                <w:sz w:val="28"/>
                <w:szCs w:val="28"/>
              </w:rPr>
              <w:t>血球计数仪</w:t>
            </w:r>
            <w:r>
              <w:rPr>
                <w:rFonts w:hint="eastAsia" w:ascii="仿宋_GB2312" w:hAnsi="仿宋_GB2312" w:eastAsia="仿宋_GB2312" w:cs="仿宋_GB2312"/>
                <w:color w:val="auto"/>
                <w:sz w:val="28"/>
                <w:szCs w:val="28"/>
              </w:rPr>
              <w:t>、电解质分析仪、</w:t>
            </w:r>
            <w:r>
              <w:rPr>
                <w:rFonts w:hint="eastAsia" w:ascii="仿宋_GB2312" w:hAnsi="仿宋_GB2312" w:eastAsia="仿宋_GB2312" w:cs="仿宋_GB2312"/>
                <w:b/>
                <w:color w:val="auto"/>
                <w:sz w:val="28"/>
                <w:szCs w:val="28"/>
              </w:rPr>
              <w:t>生化分析仪</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color w:val="auto"/>
                <w:sz w:val="28"/>
                <w:szCs w:val="28"/>
              </w:rPr>
              <w:t>心电图仪</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color w:val="auto"/>
                <w:sz w:val="28"/>
                <w:szCs w:val="28"/>
              </w:rPr>
              <w:t>彩色B超仪</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0"/>
                <w:sz w:val="28"/>
                <w:szCs w:val="28"/>
              </w:rPr>
              <w:t>神经肌电图检查仪（备案手传振动、周围神经系统化学毒物必需具备）</w:t>
            </w:r>
          </w:p>
        </w:tc>
        <w:tc>
          <w:tcPr>
            <w:tcW w:w="1588" w:type="dxa"/>
            <w:noWrap w:val="0"/>
            <w:vAlign w:val="center"/>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提供每一台仪器设备的购置发票扫描件。 粗体标出设备还需提供计量检定或校准证书的扫描件。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vMerge w:val="restart"/>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各类职业健康检查需配备的设备（仪器）要求</w:t>
            </w: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tc>
        <w:tc>
          <w:tcPr>
            <w:tcW w:w="816"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粉尘类</w:t>
            </w:r>
          </w:p>
        </w:tc>
        <w:tc>
          <w:tcPr>
            <w:tcW w:w="5427"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高千伏X射线机或数字化X射线机（DR）、肺功能仪等。</w:t>
            </w:r>
          </w:p>
        </w:tc>
        <w:tc>
          <w:tcPr>
            <w:tcW w:w="1588"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Cs w:val="21"/>
              </w:rPr>
              <w:t>提供仪器设备的购置发票扫描件。高千伏X射线机或数字化X射线机还需提供放射诊疗许可证扫描件。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vMerge w:val="continue"/>
            <w:noWrap w:val="0"/>
            <w:vAlign w:val="center"/>
          </w:tcPr>
          <w:p>
            <w:pPr>
              <w:rPr>
                <w:rFonts w:hint="eastAsia" w:ascii="仿宋_GB2312" w:hAnsi="仿宋_GB2312" w:eastAsia="仿宋_GB2312" w:cs="仿宋_GB2312"/>
                <w:color w:val="auto"/>
                <w:sz w:val="28"/>
                <w:szCs w:val="28"/>
              </w:rPr>
            </w:pPr>
          </w:p>
        </w:tc>
        <w:tc>
          <w:tcPr>
            <w:tcW w:w="816"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化学因素类</w:t>
            </w:r>
          </w:p>
        </w:tc>
        <w:tc>
          <w:tcPr>
            <w:tcW w:w="5427"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建立化学毒物生物材料分析实验室，</w:t>
            </w:r>
            <w:r>
              <w:rPr>
                <w:rFonts w:hint="eastAsia" w:ascii="仿宋_GB2312" w:hAnsi="仿宋_GB2312" w:eastAsia="仿宋_GB2312" w:cs="仿宋_GB2312"/>
                <w:color w:val="auto"/>
                <w:kern w:val="0"/>
                <w:sz w:val="28"/>
                <w:szCs w:val="28"/>
              </w:rPr>
              <w:t>精密PH计或酸度计（带氟离子选择性电极），紫外可见分光光度计，分析天平，可控温电热板</w:t>
            </w:r>
            <w:r>
              <w:rPr>
                <w:rFonts w:hint="eastAsia" w:ascii="仿宋_GB2312" w:hAnsi="仿宋_GB2312" w:eastAsia="仿宋_GB2312" w:cs="仿宋_GB2312"/>
                <w:color w:val="auto"/>
                <w:sz w:val="28"/>
                <w:szCs w:val="28"/>
              </w:rPr>
              <w:t>等。</w:t>
            </w:r>
            <w:r>
              <w:rPr>
                <w:rFonts w:hint="eastAsia" w:ascii="仿宋_GB2312" w:hAnsi="仿宋_GB2312" w:eastAsia="仿宋_GB2312" w:cs="仿宋_GB2312"/>
                <w:color w:val="auto"/>
                <w:kern w:val="0"/>
                <w:sz w:val="28"/>
                <w:szCs w:val="28"/>
              </w:rPr>
              <w:t xml:space="preserve"> 石墨炉原子吸收分光光度计（开展铅、镉、锰等测定需配置）、氢化物发生原子荧光光度计（开展砷、汞等测定需配置）、冷原子吸收分光光度计（开展汞的测定需配置）、气相色谱仪(开展生物材料有机组分分析需配置)。</w:t>
            </w:r>
          </w:p>
        </w:tc>
        <w:tc>
          <w:tcPr>
            <w:tcW w:w="1588"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Cs w:val="21"/>
              </w:rPr>
              <w:t>提供仪器设备的购置发票扫描件及计量检定或校准证书的扫描件。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vMerge w:val="continue"/>
            <w:noWrap w:val="0"/>
            <w:vAlign w:val="center"/>
          </w:tcPr>
          <w:p>
            <w:pPr>
              <w:rPr>
                <w:rFonts w:hint="eastAsia" w:ascii="仿宋_GB2312" w:hAnsi="仿宋_GB2312" w:eastAsia="仿宋_GB2312" w:cs="仿宋_GB2312"/>
                <w:color w:val="auto"/>
                <w:sz w:val="28"/>
                <w:szCs w:val="28"/>
              </w:rPr>
            </w:pPr>
          </w:p>
        </w:tc>
        <w:tc>
          <w:tcPr>
            <w:tcW w:w="816"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4"/>
                <w:szCs w:val="24"/>
              </w:rPr>
              <w:t>物理因素类</w:t>
            </w:r>
          </w:p>
        </w:tc>
        <w:tc>
          <w:tcPr>
            <w:tcW w:w="5427"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纯音电测听仪</w:t>
            </w:r>
            <w:r>
              <w:rPr>
                <w:rFonts w:hint="eastAsia" w:ascii="仿宋_GB2312" w:hAnsi="仿宋_GB2312" w:eastAsia="仿宋_GB2312" w:cs="仿宋_GB2312"/>
                <w:color w:val="auto"/>
                <w:sz w:val="28"/>
                <w:szCs w:val="28"/>
              </w:rPr>
              <w:t>、声导抗仪、</w:t>
            </w:r>
            <w:r>
              <w:rPr>
                <w:rFonts w:hint="eastAsia" w:ascii="仿宋_GB2312" w:hAnsi="仿宋_GB2312" w:eastAsia="仿宋_GB2312" w:cs="仿宋_GB2312"/>
                <w:b/>
                <w:color w:val="auto"/>
                <w:sz w:val="28"/>
                <w:szCs w:val="28"/>
              </w:rPr>
              <w:t>隔音测听室</w:t>
            </w:r>
            <w:r>
              <w:rPr>
                <w:rFonts w:hint="eastAsia" w:ascii="仿宋_GB2312" w:hAnsi="仿宋_GB2312" w:eastAsia="仿宋_GB2312" w:cs="仿宋_GB2312"/>
                <w:color w:val="auto"/>
                <w:sz w:val="28"/>
                <w:szCs w:val="28"/>
              </w:rPr>
              <w:t>等。</w:t>
            </w:r>
          </w:p>
        </w:tc>
        <w:tc>
          <w:tcPr>
            <w:tcW w:w="1588" w:type="dxa"/>
            <w:vMerge w:val="restart"/>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Cs w:val="21"/>
              </w:rPr>
              <w:t>提供每一台仪器设备的购置发票扫描件。 粗体标出设备还需提供计量检定或校准证书的扫描件。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vMerge w:val="continue"/>
            <w:noWrap w:val="0"/>
            <w:vAlign w:val="center"/>
          </w:tcPr>
          <w:p>
            <w:pPr>
              <w:rPr>
                <w:rFonts w:hint="eastAsia" w:ascii="仿宋_GB2312" w:hAnsi="仿宋_GB2312" w:eastAsia="仿宋_GB2312" w:cs="仿宋_GB2312"/>
                <w:color w:val="auto"/>
                <w:sz w:val="28"/>
                <w:szCs w:val="28"/>
              </w:rPr>
            </w:pPr>
          </w:p>
        </w:tc>
        <w:tc>
          <w:tcPr>
            <w:tcW w:w="816"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生物因素类</w:t>
            </w:r>
          </w:p>
        </w:tc>
        <w:tc>
          <w:tcPr>
            <w:tcW w:w="5427"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光学显微镜、</w:t>
            </w:r>
            <w:r>
              <w:rPr>
                <w:rFonts w:hint="eastAsia" w:ascii="仿宋_GB2312" w:hAnsi="仿宋_GB2312" w:eastAsia="仿宋_GB2312" w:cs="仿宋_GB2312"/>
                <w:b/>
                <w:color w:val="auto"/>
                <w:sz w:val="28"/>
                <w:szCs w:val="28"/>
              </w:rPr>
              <w:t>恒温培养箱</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color w:val="auto"/>
                <w:sz w:val="28"/>
                <w:szCs w:val="28"/>
              </w:rPr>
              <w:t>二氧化碳培养箱</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color w:val="auto"/>
                <w:sz w:val="28"/>
                <w:szCs w:val="28"/>
              </w:rPr>
              <w:t>净化工作台</w:t>
            </w:r>
            <w:r>
              <w:rPr>
                <w:rFonts w:hint="eastAsia" w:ascii="仿宋_GB2312" w:hAnsi="仿宋_GB2312" w:eastAsia="仿宋_GB2312" w:cs="仿宋_GB2312"/>
                <w:color w:val="auto"/>
                <w:sz w:val="28"/>
                <w:szCs w:val="28"/>
              </w:rPr>
              <w:t>、高压蒸汽灭菌器、电热鼓风干燥箱、高速离心机、</w:t>
            </w:r>
            <w:r>
              <w:rPr>
                <w:rFonts w:hint="eastAsia" w:ascii="仿宋_GB2312" w:hAnsi="仿宋_GB2312" w:eastAsia="仿宋_GB2312" w:cs="仿宋_GB2312"/>
                <w:b/>
                <w:color w:val="auto"/>
                <w:sz w:val="28"/>
                <w:szCs w:val="28"/>
              </w:rPr>
              <w:t>恒温水槽</w:t>
            </w:r>
            <w:r>
              <w:rPr>
                <w:rFonts w:hint="eastAsia" w:ascii="仿宋_GB2312" w:hAnsi="仿宋_GB2312" w:eastAsia="仿宋_GB2312" w:cs="仿宋_GB2312"/>
                <w:color w:val="auto"/>
                <w:sz w:val="28"/>
                <w:szCs w:val="28"/>
              </w:rPr>
              <w:t>或水浴锅、</w:t>
            </w:r>
            <w:r>
              <w:rPr>
                <w:rFonts w:hint="eastAsia" w:ascii="仿宋_GB2312" w:hAnsi="仿宋_GB2312" w:eastAsia="仿宋_GB2312" w:cs="仿宋_GB2312"/>
                <w:b/>
                <w:color w:val="auto"/>
                <w:sz w:val="28"/>
                <w:szCs w:val="28"/>
              </w:rPr>
              <w:t>分析天平</w:t>
            </w:r>
            <w:r>
              <w:rPr>
                <w:rFonts w:hint="eastAsia" w:ascii="仿宋_GB2312" w:hAnsi="仿宋_GB2312" w:eastAsia="仿宋_GB2312" w:cs="仿宋_GB2312"/>
                <w:color w:val="auto"/>
                <w:sz w:val="28"/>
                <w:szCs w:val="28"/>
              </w:rPr>
              <w:t>等。</w:t>
            </w:r>
          </w:p>
        </w:tc>
        <w:tc>
          <w:tcPr>
            <w:tcW w:w="1588" w:type="dxa"/>
            <w:vMerge w:val="continue"/>
            <w:noWrap w:val="0"/>
            <w:vAlign w:val="center"/>
          </w:tcPr>
          <w:p>
            <w:pP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vMerge w:val="continue"/>
            <w:noWrap w:val="0"/>
            <w:vAlign w:val="center"/>
          </w:tcPr>
          <w:p>
            <w:pPr>
              <w:rPr>
                <w:rFonts w:hint="eastAsia" w:ascii="仿宋_GB2312" w:hAnsi="仿宋_GB2312" w:eastAsia="仿宋_GB2312" w:cs="仿宋_GB2312"/>
                <w:color w:val="auto"/>
                <w:sz w:val="28"/>
                <w:szCs w:val="28"/>
              </w:rPr>
            </w:pPr>
          </w:p>
        </w:tc>
        <w:tc>
          <w:tcPr>
            <w:tcW w:w="816"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放射因素类</w:t>
            </w:r>
          </w:p>
        </w:tc>
        <w:tc>
          <w:tcPr>
            <w:tcW w:w="5427"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建立辐射细胞遗传学实验室，具备染色体畸变分析及微核分析能力，光学显微镜（满足染色体微核阅片要求）、</w:t>
            </w:r>
            <w:r>
              <w:rPr>
                <w:rFonts w:hint="eastAsia" w:ascii="仿宋_GB2312" w:hAnsi="仿宋_GB2312" w:eastAsia="仿宋_GB2312" w:cs="仿宋_GB2312"/>
                <w:b/>
                <w:color w:val="auto"/>
                <w:sz w:val="28"/>
                <w:szCs w:val="28"/>
              </w:rPr>
              <w:t>恒温培养箱</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color w:val="auto"/>
                <w:sz w:val="28"/>
                <w:szCs w:val="28"/>
              </w:rPr>
              <w:t>二氧化碳培养箱</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color w:val="auto"/>
                <w:sz w:val="28"/>
                <w:szCs w:val="28"/>
              </w:rPr>
              <w:t>净化工作台</w:t>
            </w:r>
            <w:r>
              <w:rPr>
                <w:rFonts w:hint="eastAsia" w:ascii="仿宋_GB2312" w:hAnsi="仿宋_GB2312" w:eastAsia="仿宋_GB2312" w:cs="仿宋_GB2312"/>
                <w:color w:val="auto"/>
                <w:sz w:val="28"/>
                <w:szCs w:val="28"/>
              </w:rPr>
              <w:t>、高压蒸汽灭菌器、电热鼓风干燥箱、高速离心机、</w:t>
            </w:r>
            <w:r>
              <w:rPr>
                <w:rFonts w:hint="eastAsia" w:ascii="仿宋_GB2312" w:hAnsi="仿宋_GB2312" w:eastAsia="仿宋_GB2312" w:cs="仿宋_GB2312"/>
                <w:b/>
                <w:color w:val="auto"/>
                <w:sz w:val="28"/>
                <w:szCs w:val="28"/>
              </w:rPr>
              <w:t>恒温水槽</w:t>
            </w:r>
            <w:r>
              <w:rPr>
                <w:rFonts w:hint="eastAsia" w:ascii="仿宋_GB2312" w:hAnsi="仿宋_GB2312" w:eastAsia="仿宋_GB2312" w:cs="仿宋_GB2312"/>
                <w:color w:val="auto"/>
                <w:sz w:val="28"/>
                <w:szCs w:val="28"/>
              </w:rPr>
              <w:t>或水浴锅等。</w:t>
            </w:r>
          </w:p>
        </w:tc>
        <w:tc>
          <w:tcPr>
            <w:tcW w:w="1588" w:type="dxa"/>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Cs w:val="21"/>
              </w:rPr>
              <w:t>提供每一台仪器设备的购置发票扫描件。 粗体标出设备还需提供计量检定或校准证书的扫描件。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vMerge w:val="continue"/>
            <w:noWrap w:val="0"/>
            <w:vAlign w:val="center"/>
          </w:tcPr>
          <w:p>
            <w:pPr>
              <w:rPr>
                <w:rFonts w:hint="eastAsia" w:ascii="仿宋_GB2312" w:hAnsi="仿宋_GB2312" w:eastAsia="仿宋_GB2312" w:cs="仿宋_GB2312"/>
                <w:color w:val="auto"/>
                <w:sz w:val="28"/>
                <w:szCs w:val="28"/>
              </w:rPr>
            </w:pPr>
          </w:p>
        </w:tc>
        <w:tc>
          <w:tcPr>
            <w:tcW w:w="816"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4"/>
                <w:szCs w:val="24"/>
              </w:rPr>
              <w:t>其他类（特殊作业</w:t>
            </w:r>
            <w:r>
              <w:rPr>
                <w:rFonts w:hint="eastAsia" w:ascii="仿宋_GB2312" w:hAnsi="仿宋_GB2312" w:eastAsia="仿宋_GB2312" w:cs="仿宋_GB2312"/>
                <w:color w:val="auto"/>
                <w:sz w:val="28"/>
                <w:szCs w:val="28"/>
              </w:rPr>
              <w:t>等）</w:t>
            </w:r>
          </w:p>
        </w:tc>
        <w:tc>
          <w:tcPr>
            <w:tcW w:w="5427"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视力计、视野计、色觉图谱等。</w:t>
            </w:r>
          </w:p>
        </w:tc>
        <w:tc>
          <w:tcPr>
            <w:tcW w:w="1588"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Cs w:val="21"/>
              </w:rPr>
              <w:t>视力表、色觉图谱需需提供证明文件扫描件。视野计需提供购置发票扫描件。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6" w:hRule="atLeast"/>
          <w:jc w:val="center"/>
        </w:trPr>
        <w:tc>
          <w:tcPr>
            <w:tcW w:w="1752" w:type="dxa"/>
            <w:gridSpan w:val="2"/>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设备（仪器、车辆）的计量检定要求</w:t>
            </w:r>
          </w:p>
        </w:tc>
        <w:tc>
          <w:tcPr>
            <w:tcW w:w="5427"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有计量检定规程的仪器设备，应定期进行计量检定，并贴有明显标志；无计量检定规程的仪器设备，应自行编制校验和检验的资料。</w:t>
            </w:r>
          </w:p>
        </w:tc>
        <w:tc>
          <w:tcPr>
            <w:tcW w:w="1588"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Cs w:val="21"/>
              </w:rPr>
              <w:t>提供相关扫描件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2" w:type="dxa"/>
            <w:gridSpan w:val="2"/>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设备（仪器、车辆）的使用、维修保养要求</w:t>
            </w:r>
          </w:p>
        </w:tc>
        <w:tc>
          <w:tcPr>
            <w:tcW w:w="5427"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建立健全仪器设备的使用、维修保养档案。仪器设备档案内容至少包括：购置申请、招标文件、验收材料、有效的检定证书、作业指导书，使用、维护、维修记录，自校记录及期间核查等资料。仪器设备的放置妥当，温度、湿度等环境条件适宜，精密仪器和加热设备隔离放置等内容。</w:t>
            </w:r>
          </w:p>
        </w:tc>
        <w:tc>
          <w:tcPr>
            <w:tcW w:w="1588"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Cs w:val="21"/>
              </w:rPr>
              <w:t>提供相关</w:t>
            </w:r>
            <w:r>
              <w:rPr>
                <w:rFonts w:hint="eastAsia" w:ascii="仿宋_GB2312" w:hAnsi="仿宋_GB2312" w:eastAsia="仿宋_GB2312" w:cs="仿宋_GB2312"/>
                <w:color w:val="auto"/>
                <w:szCs w:val="21"/>
                <w:lang w:eastAsia="zh-CN"/>
              </w:rPr>
              <w:t>材料</w:t>
            </w:r>
            <w:r>
              <w:rPr>
                <w:rFonts w:hint="eastAsia" w:ascii="仿宋_GB2312" w:hAnsi="仿宋_GB2312" w:eastAsia="仿宋_GB2312" w:cs="仿宋_GB2312"/>
                <w:color w:val="auto"/>
                <w:szCs w:val="21"/>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0" w:hRule="atLeast"/>
          <w:jc w:val="center"/>
        </w:trPr>
        <w:tc>
          <w:tcPr>
            <w:tcW w:w="1752" w:type="dxa"/>
            <w:gridSpan w:val="2"/>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生物监测能力要求</w:t>
            </w:r>
          </w:p>
        </w:tc>
        <w:tc>
          <w:tcPr>
            <w:tcW w:w="5427"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开展化学因素、放射因素类职业健康检查的，应按照相应标准设置职业卫生、放射卫生生物样本分析实验室。开展化学因素类职业健康检查的，应取得相应备案项目生物监测CMA认证。</w:t>
            </w:r>
          </w:p>
        </w:tc>
        <w:tc>
          <w:tcPr>
            <w:tcW w:w="1588"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Cs w:val="21"/>
              </w:rPr>
              <w:t>提供实验室设立及人员配置文件扫描件，CMA认证合格证书扫描件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2" w:hRule="atLeast"/>
          <w:jc w:val="center"/>
        </w:trPr>
        <w:tc>
          <w:tcPr>
            <w:tcW w:w="1752" w:type="dxa"/>
            <w:gridSpan w:val="2"/>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外出体检要求</w:t>
            </w:r>
          </w:p>
        </w:tc>
        <w:tc>
          <w:tcPr>
            <w:tcW w:w="5427"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DR车一辆，移动隔声室车辆一辆，无线局域网信息化体检系统一套。</w:t>
            </w:r>
          </w:p>
        </w:tc>
        <w:tc>
          <w:tcPr>
            <w:tcW w:w="1588"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Cs w:val="21"/>
              </w:rPr>
              <w:t>提供车辆行驶证扫描件。隔声室提供计量检测报告扫描件。外出信息化系统提供购置发票。</w:t>
            </w:r>
          </w:p>
        </w:tc>
      </w:tr>
    </w:tbl>
    <w:p>
      <w:pPr>
        <w:keepNext w:val="0"/>
        <w:keepLines w:val="0"/>
        <w:pageBreakBefore w:val="0"/>
        <w:widowControl w:val="0"/>
        <w:kinsoku/>
        <w:wordWrap/>
        <w:overflowPunct/>
        <w:topLinePunct w:val="0"/>
        <w:autoSpaceDE/>
        <w:autoSpaceDN/>
        <w:bidi w:val="0"/>
        <w:adjustRightInd/>
        <w:snapToGrid/>
        <w:spacing w:after="251" w:afterLines="80" w:line="440" w:lineRule="exact"/>
        <w:ind w:left="0" w:leftChars="0" w:right="0" w:rightChars="0" w:firstLine="0" w:firstLineChars="0"/>
        <w:jc w:val="left"/>
        <w:textAlignment w:val="auto"/>
        <w:outlineLvl w:val="9"/>
        <w:rPr>
          <w:rFonts w:hint="eastAsia" w:ascii="方正小标宋简体" w:hAnsi="宋体" w:eastAsia="方正小标宋简体"/>
          <w:bCs/>
          <w:color w:val="000000"/>
          <w:sz w:val="32"/>
          <w:szCs w:val="32"/>
        </w:rPr>
      </w:pPr>
      <w:r>
        <w:rPr>
          <w:rFonts w:hint="eastAsia" w:ascii="仿宋" w:hAnsi="仿宋" w:eastAsia="仿宋" w:cs="仿宋"/>
          <w:sz w:val="28"/>
          <w:szCs w:val="28"/>
        </w:rPr>
        <w:t>备注：开展各类职业健康检查工作需要配置的设备（仪器）是指基本设备（仪器）配置</w:t>
      </w:r>
      <w:r>
        <w:rPr>
          <w:rFonts w:hint="eastAsia" w:ascii="仿宋" w:hAnsi="仿宋" w:eastAsia="仿宋" w:cs="仿宋"/>
          <w:sz w:val="28"/>
          <w:szCs w:val="28"/>
          <w:lang w:eastAsia="zh-CN"/>
        </w:rPr>
        <w:t>以及</w:t>
      </w:r>
      <w:r>
        <w:rPr>
          <w:rFonts w:hint="eastAsia" w:ascii="仿宋" w:hAnsi="仿宋" w:eastAsia="仿宋" w:cs="仿宋"/>
          <w:sz w:val="28"/>
          <w:szCs w:val="28"/>
        </w:rPr>
        <w:t>相应类职业健康检查</w:t>
      </w:r>
      <w:r>
        <w:rPr>
          <w:rFonts w:hint="eastAsia" w:ascii="仿宋" w:hAnsi="仿宋" w:eastAsia="仿宋" w:cs="仿宋"/>
          <w:sz w:val="28"/>
          <w:szCs w:val="28"/>
          <w:lang w:eastAsia="zh-CN"/>
        </w:rPr>
        <w:t>所</w:t>
      </w:r>
      <w:r>
        <w:rPr>
          <w:rFonts w:hint="eastAsia" w:ascii="仿宋" w:hAnsi="仿宋" w:eastAsia="仿宋" w:cs="仿宋"/>
          <w:sz w:val="28"/>
          <w:szCs w:val="28"/>
        </w:rPr>
        <w:t>需配备设备（仪器）</w:t>
      </w:r>
      <w:r>
        <w:rPr>
          <w:rFonts w:hint="eastAsia" w:ascii="仿宋" w:hAnsi="仿宋" w:eastAsia="仿宋" w:cs="仿宋"/>
          <w:sz w:val="28"/>
          <w:szCs w:val="28"/>
          <w:lang w:eastAsia="zh-CN"/>
        </w:rPr>
        <w:t>的</w:t>
      </w:r>
      <w:r>
        <w:rPr>
          <w:rFonts w:hint="eastAsia" w:ascii="仿宋" w:hAnsi="仿宋" w:eastAsia="仿宋" w:cs="仿宋"/>
          <w:sz w:val="28"/>
          <w:szCs w:val="28"/>
        </w:rPr>
        <w:t>要求。</w:t>
      </w:r>
    </w:p>
    <w:p>
      <w:pPr>
        <w:rPr>
          <w:rFonts w:hint="eastAsia" w:ascii="黑体" w:hAnsi="黑体" w:eastAsia="黑体" w:cs="黑体"/>
          <w:b/>
          <w:bCs/>
          <w:sz w:val="32"/>
          <w:szCs w:val="32"/>
        </w:rPr>
      </w:pPr>
      <w:r>
        <w:rPr>
          <w:rFonts w:hint="eastAsia" w:ascii="黑体" w:hAnsi="黑体" w:eastAsia="黑体" w:cs="黑体"/>
          <w:sz w:val="32"/>
          <w:szCs w:val="32"/>
        </w:rPr>
        <w:t>附件3 </w:t>
      </w:r>
    </w:p>
    <w:p>
      <w:pPr>
        <w:jc w:val="center"/>
        <w:rPr>
          <w:rFonts w:hint="eastAsia" w:ascii="宋体" w:hAnsi="宋体" w:eastAsia="宋体" w:cs="宋体"/>
          <w:b/>
          <w:bCs/>
          <w:sz w:val="44"/>
          <w:szCs w:val="44"/>
        </w:rPr>
      </w:pPr>
      <w:r>
        <w:rPr>
          <w:rFonts w:hint="eastAsia" w:ascii="宋体" w:hAnsi="宋体" w:eastAsia="宋体" w:cs="宋体"/>
          <w:b/>
          <w:bCs/>
          <w:sz w:val="44"/>
          <w:szCs w:val="44"/>
        </w:rPr>
        <w:t>广东省职业健康检查机构申请备案质量管理</w:t>
      </w:r>
    </w:p>
    <w:p>
      <w:pPr>
        <w:jc w:val="center"/>
        <w:rPr>
          <w:rFonts w:hint="eastAsia" w:ascii="宋体" w:hAnsi="宋体" w:eastAsia="宋体" w:cs="宋体"/>
          <w:b/>
          <w:bCs/>
          <w:sz w:val="44"/>
          <w:szCs w:val="44"/>
        </w:rPr>
      </w:pPr>
      <w:r>
        <w:rPr>
          <w:rFonts w:hint="eastAsia" w:ascii="宋体" w:hAnsi="宋体" w:eastAsia="宋体" w:cs="宋体"/>
          <w:b/>
          <w:bCs/>
          <w:sz w:val="44"/>
          <w:szCs w:val="44"/>
        </w:rPr>
        <w:t>制度条件规范</w:t>
      </w:r>
    </w:p>
    <w:tbl>
      <w:tblPr>
        <w:tblStyle w:val="6"/>
        <w:tblW w:w="8766" w:type="dxa"/>
        <w:jc w:val="center"/>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5610"/>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1390" w:type="dxa"/>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机构名称</w:t>
            </w:r>
          </w:p>
        </w:tc>
        <w:tc>
          <w:tcPr>
            <w:tcW w:w="7376" w:type="dxa"/>
            <w:gridSpan w:val="2"/>
            <w:noWrap w:val="0"/>
            <w:vAlign w:val="center"/>
          </w:tcPr>
          <w:p>
            <w:pPr>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390" w:type="dxa"/>
            <w:noWrap w:val="0"/>
            <w:vAlign w:val="center"/>
          </w:tcPr>
          <w:p>
            <w:pPr>
              <w:ind w:firstLine="280" w:firstLineChars="10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5610"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申请备案质量管理制度条件规范</w:t>
            </w:r>
          </w:p>
        </w:tc>
        <w:tc>
          <w:tcPr>
            <w:tcW w:w="1766"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4"/>
                <w:szCs w:val="24"/>
                <w:lang w:eastAsia="zh-CN"/>
              </w:rPr>
              <w:t>需提供佐证材料形式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390" w:type="dxa"/>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5610"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质量管理</w:t>
            </w:r>
            <w:r>
              <w:rPr>
                <w:rFonts w:hint="eastAsia" w:ascii="仿宋_GB2312" w:hAnsi="仿宋_GB2312" w:eastAsia="仿宋_GB2312" w:cs="仿宋_GB2312"/>
                <w:color w:val="auto"/>
                <w:kern w:val="0"/>
                <w:sz w:val="28"/>
                <w:szCs w:val="28"/>
              </w:rPr>
              <w:t>（颁布令、方针、目标、承诺）</w:t>
            </w:r>
          </w:p>
        </w:tc>
        <w:tc>
          <w:tcPr>
            <w:tcW w:w="1766" w:type="dxa"/>
            <w:vMerge w:val="restart"/>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Cs w:val="21"/>
              </w:rPr>
              <w:t>提供电子版扫描件（签发、受控、盖章、有效期）</w:t>
            </w:r>
            <w:r>
              <w:rPr>
                <w:rFonts w:hint="eastAsia" w:ascii="仿宋_GB2312" w:hAnsi="仿宋_GB2312" w:eastAsia="仿宋_GB2312" w:cs="仿宋_GB2312"/>
                <w:color w:val="auto"/>
                <w:szCs w:val="21"/>
                <w:lang w:eastAsia="zh-CN"/>
              </w:rPr>
              <w:t>，本表各栏目</w:t>
            </w:r>
            <w:r>
              <w:rPr>
                <w:rFonts w:hint="eastAsia" w:ascii="仿宋_GB2312" w:hAnsi="仿宋_GB2312" w:eastAsia="仿宋_GB2312" w:cs="仿宋_GB2312"/>
                <w:color w:val="auto"/>
                <w:szCs w:val="21"/>
              </w:rPr>
              <w:t>均同此栏要求</w:t>
            </w:r>
            <w:r>
              <w:rPr>
                <w:rFonts w:hint="eastAsia" w:ascii="仿宋_GB2312" w:hAnsi="仿宋_GB2312" w:eastAsia="仿宋_GB2312" w:cs="仿宋_GB2312"/>
                <w:color w:val="auto"/>
                <w:szCs w:val="21"/>
                <w:lang w:eastAsia="zh-CN"/>
              </w:rPr>
              <w:t>。质量、规程等文件内容</w:t>
            </w:r>
            <w:r>
              <w:rPr>
                <w:rFonts w:hint="eastAsia" w:ascii="仿宋_GB2312" w:hAnsi="仿宋_GB2312" w:eastAsia="仿宋_GB2312" w:cs="仿宋_GB2312"/>
                <w:color w:val="auto"/>
                <w:szCs w:val="21"/>
              </w:rPr>
              <w:t>与</w:t>
            </w:r>
            <w:r>
              <w:rPr>
                <w:rFonts w:hint="eastAsia" w:ascii="仿宋_GB2312" w:hAnsi="仿宋_GB2312" w:eastAsia="仿宋_GB2312" w:cs="仿宋_GB2312"/>
                <w:color w:val="auto"/>
                <w:szCs w:val="21"/>
                <w:lang w:eastAsia="zh-CN"/>
              </w:rPr>
              <w:t>开展</w:t>
            </w:r>
            <w:r>
              <w:rPr>
                <w:rFonts w:hint="eastAsia" w:ascii="仿宋_GB2312" w:hAnsi="仿宋_GB2312" w:eastAsia="仿宋_GB2312" w:cs="仿宋_GB2312"/>
                <w:color w:val="auto"/>
                <w:szCs w:val="21"/>
              </w:rPr>
              <w:t>备案项目</w:t>
            </w:r>
            <w:r>
              <w:rPr>
                <w:rFonts w:hint="eastAsia" w:ascii="仿宋_GB2312" w:hAnsi="仿宋_GB2312" w:eastAsia="仿宋_GB2312" w:cs="仿宋_GB2312"/>
                <w:color w:val="auto"/>
                <w:szCs w:val="21"/>
                <w:lang w:eastAsia="zh-CN"/>
              </w:rPr>
              <w:t>职业健康检查工作实际需求</w:t>
            </w:r>
            <w:r>
              <w:rPr>
                <w:rFonts w:hint="eastAsia" w:ascii="仿宋_GB2312" w:hAnsi="仿宋_GB2312" w:eastAsia="仿宋_GB2312" w:cs="仿宋_GB2312"/>
                <w:color w:val="auto"/>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390" w:type="dxa"/>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5610"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组织、</w:t>
            </w:r>
            <w:r>
              <w:rPr>
                <w:rFonts w:hint="eastAsia" w:ascii="仿宋_GB2312" w:hAnsi="仿宋_GB2312" w:eastAsia="仿宋_GB2312" w:cs="仿宋_GB2312"/>
                <w:color w:val="auto"/>
                <w:sz w:val="28"/>
                <w:szCs w:val="28"/>
              </w:rPr>
              <w:t>岗位职责</w:t>
            </w:r>
          </w:p>
        </w:tc>
        <w:tc>
          <w:tcPr>
            <w:tcW w:w="1766" w:type="dxa"/>
            <w:vMerge w:val="continue"/>
            <w:noWrap w:val="0"/>
            <w:vAlign w:val="center"/>
          </w:tcPr>
          <w:p>
            <w:pPr>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0" w:type="dxa"/>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5610"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职业健康监护资料收集和应用规程</w:t>
            </w:r>
          </w:p>
        </w:tc>
        <w:tc>
          <w:tcPr>
            <w:tcW w:w="1766" w:type="dxa"/>
            <w:vMerge w:val="continue"/>
            <w:noWrap w:val="0"/>
            <w:vAlign w:val="center"/>
          </w:tcPr>
          <w:p>
            <w:pP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0" w:type="dxa"/>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5610"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职业健康监护目标疾病规程</w:t>
            </w:r>
          </w:p>
        </w:tc>
        <w:tc>
          <w:tcPr>
            <w:tcW w:w="1766" w:type="dxa"/>
            <w:vMerge w:val="continue"/>
            <w:noWrap w:val="0"/>
            <w:vAlign w:val="center"/>
          </w:tcPr>
          <w:p>
            <w:pP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0" w:type="dxa"/>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5610"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职业病危害因素界定与职业健康监护规程</w:t>
            </w:r>
          </w:p>
        </w:tc>
        <w:tc>
          <w:tcPr>
            <w:tcW w:w="1766" w:type="dxa"/>
            <w:vMerge w:val="continue"/>
            <w:noWrap w:val="0"/>
            <w:vAlign w:val="center"/>
          </w:tcPr>
          <w:p>
            <w:pP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0" w:type="dxa"/>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c>
          <w:tcPr>
            <w:tcW w:w="5610"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职业健康监护人群界定操作规程</w:t>
            </w:r>
          </w:p>
        </w:tc>
        <w:tc>
          <w:tcPr>
            <w:tcW w:w="1766" w:type="dxa"/>
            <w:vMerge w:val="continue"/>
            <w:noWrap w:val="0"/>
            <w:vAlign w:val="center"/>
          </w:tcPr>
          <w:p>
            <w:pP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0" w:type="dxa"/>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w:t>
            </w:r>
          </w:p>
        </w:tc>
        <w:tc>
          <w:tcPr>
            <w:tcW w:w="5610"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职业健康监护分类和周期</w:t>
            </w:r>
          </w:p>
        </w:tc>
        <w:tc>
          <w:tcPr>
            <w:tcW w:w="1766" w:type="dxa"/>
            <w:vMerge w:val="continue"/>
            <w:noWrap w:val="0"/>
            <w:vAlign w:val="center"/>
          </w:tcPr>
          <w:p>
            <w:pP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0" w:type="dxa"/>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5610"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职业健康监护方法和检查指标确定程序</w:t>
            </w:r>
          </w:p>
        </w:tc>
        <w:tc>
          <w:tcPr>
            <w:tcW w:w="1766" w:type="dxa"/>
            <w:vMerge w:val="continue"/>
            <w:noWrap w:val="0"/>
            <w:vAlign w:val="center"/>
          </w:tcPr>
          <w:p>
            <w:pP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0" w:type="dxa"/>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w:t>
            </w:r>
          </w:p>
        </w:tc>
        <w:tc>
          <w:tcPr>
            <w:tcW w:w="5610"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职业健康检查的委托、要求或合同审核程序</w:t>
            </w:r>
          </w:p>
        </w:tc>
        <w:tc>
          <w:tcPr>
            <w:tcW w:w="1766" w:type="dxa"/>
            <w:vMerge w:val="continue"/>
            <w:noWrap w:val="0"/>
            <w:vAlign w:val="center"/>
          </w:tcPr>
          <w:p>
            <w:pP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0" w:type="dxa"/>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p>
        </w:tc>
        <w:tc>
          <w:tcPr>
            <w:tcW w:w="5610"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职业健康检查方案控制程序</w:t>
            </w:r>
          </w:p>
        </w:tc>
        <w:tc>
          <w:tcPr>
            <w:tcW w:w="1766" w:type="dxa"/>
            <w:noWrap w:val="0"/>
            <w:vAlign w:val="center"/>
          </w:tcPr>
          <w:p>
            <w:pP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390" w:type="dxa"/>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w:t>
            </w:r>
          </w:p>
        </w:tc>
        <w:tc>
          <w:tcPr>
            <w:tcW w:w="5610"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职业健康检查服务标识及可追溯性控制程序</w:t>
            </w:r>
          </w:p>
        </w:tc>
        <w:tc>
          <w:tcPr>
            <w:tcW w:w="1766" w:type="dxa"/>
            <w:noWrap w:val="0"/>
            <w:vAlign w:val="center"/>
          </w:tcPr>
          <w:p>
            <w:pP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jc w:val="center"/>
        </w:trPr>
        <w:tc>
          <w:tcPr>
            <w:tcW w:w="1390" w:type="dxa"/>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w:t>
            </w:r>
          </w:p>
        </w:tc>
        <w:tc>
          <w:tcPr>
            <w:tcW w:w="5610"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职业健康体检操作程序</w:t>
            </w:r>
          </w:p>
        </w:tc>
        <w:tc>
          <w:tcPr>
            <w:tcW w:w="1766" w:type="dxa"/>
            <w:noWrap w:val="0"/>
            <w:vAlign w:val="center"/>
          </w:tcPr>
          <w:p>
            <w:pP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0" w:type="dxa"/>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13</w:t>
            </w:r>
          </w:p>
        </w:tc>
        <w:tc>
          <w:tcPr>
            <w:tcW w:w="5610"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外出职业健康体检操作程序</w:t>
            </w:r>
          </w:p>
        </w:tc>
        <w:tc>
          <w:tcPr>
            <w:tcW w:w="1766" w:type="dxa"/>
            <w:noWrap w:val="0"/>
            <w:vAlign w:val="center"/>
          </w:tcPr>
          <w:p>
            <w:pP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0" w:type="dxa"/>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14</w:t>
            </w:r>
          </w:p>
        </w:tc>
        <w:tc>
          <w:tcPr>
            <w:tcW w:w="5610"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门诊职业健康体检操作程序</w:t>
            </w:r>
          </w:p>
        </w:tc>
        <w:tc>
          <w:tcPr>
            <w:tcW w:w="1766" w:type="dxa"/>
            <w:noWrap w:val="0"/>
            <w:vAlign w:val="center"/>
          </w:tcPr>
          <w:p>
            <w:pP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0" w:type="dxa"/>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w:t>
            </w:r>
          </w:p>
        </w:tc>
        <w:tc>
          <w:tcPr>
            <w:tcW w:w="5610"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职业健康监护评价控制程序</w:t>
            </w:r>
          </w:p>
        </w:tc>
        <w:tc>
          <w:tcPr>
            <w:tcW w:w="1766" w:type="dxa"/>
            <w:noWrap w:val="0"/>
            <w:vAlign w:val="center"/>
          </w:tcPr>
          <w:p>
            <w:pP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0" w:type="dxa"/>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16</w:t>
            </w:r>
          </w:p>
        </w:tc>
        <w:tc>
          <w:tcPr>
            <w:tcW w:w="5610"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职业健康体检结果质量保证程序</w:t>
            </w:r>
          </w:p>
        </w:tc>
        <w:tc>
          <w:tcPr>
            <w:tcW w:w="1766" w:type="dxa"/>
            <w:noWrap w:val="0"/>
            <w:vAlign w:val="center"/>
          </w:tcPr>
          <w:p>
            <w:pP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0" w:type="dxa"/>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17</w:t>
            </w:r>
          </w:p>
        </w:tc>
        <w:tc>
          <w:tcPr>
            <w:tcW w:w="5610"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职业性健康检查报告管理程序</w:t>
            </w:r>
          </w:p>
        </w:tc>
        <w:tc>
          <w:tcPr>
            <w:tcW w:w="1766" w:type="dxa"/>
            <w:noWrap w:val="0"/>
            <w:vAlign w:val="center"/>
          </w:tcPr>
          <w:p>
            <w:pP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0" w:type="dxa"/>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18</w:t>
            </w:r>
          </w:p>
        </w:tc>
        <w:tc>
          <w:tcPr>
            <w:tcW w:w="5610"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振动作业职业健康检查</w:t>
            </w:r>
            <w:r>
              <w:rPr>
                <w:rFonts w:hint="eastAsia" w:ascii="仿宋_GB2312" w:hAnsi="仿宋_GB2312" w:eastAsia="仿宋_GB2312" w:cs="仿宋_GB2312"/>
                <w:color w:val="auto"/>
                <w:kern w:val="0"/>
                <w:sz w:val="28"/>
                <w:szCs w:val="28"/>
              </w:rPr>
              <w:t>作业指导书</w:t>
            </w:r>
          </w:p>
        </w:tc>
        <w:tc>
          <w:tcPr>
            <w:tcW w:w="1766" w:type="dxa"/>
            <w:noWrap w:val="0"/>
            <w:vAlign w:val="center"/>
          </w:tcPr>
          <w:p>
            <w:pP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0" w:type="dxa"/>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19</w:t>
            </w:r>
          </w:p>
        </w:tc>
        <w:tc>
          <w:tcPr>
            <w:tcW w:w="5610"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放射工作人员职业健康检查</w:t>
            </w:r>
            <w:r>
              <w:rPr>
                <w:rFonts w:hint="eastAsia" w:ascii="仿宋_GB2312" w:hAnsi="仿宋_GB2312" w:eastAsia="仿宋_GB2312" w:cs="仿宋_GB2312"/>
                <w:color w:val="auto"/>
                <w:kern w:val="0"/>
                <w:sz w:val="28"/>
                <w:szCs w:val="28"/>
              </w:rPr>
              <w:t>作业指导书</w:t>
            </w:r>
          </w:p>
        </w:tc>
        <w:tc>
          <w:tcPr>
            <w:tcW w:w="1766" w:type="dxa"/>
            <w:noWrap w:val="0"/>
            <w:vAlign w:val="center"/>
          </w:tcPr>
          <w:p>
            <w:pP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jc w:val="center"/>
        </w:trPr>
        <w:tc>
          <w:tcPr>
            <w:tcW w:w="1390" w:type="dxa"/>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w:t>
            </w:r>
          </w:p>
        </w:tc>
        <w:tc>
          <w:tcPr>
            <w:tcW w:w="5610" w:type="dxa"/>
            <w:noWrap w:val="0"/>
            <w:vAlign w:val="center"/>
          </w:tcPr>
          <w:p>
            <w:pPr>
              <w:spacing w:line="48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粉尘作业人员职业健康体检</w:t>
            </w:r>
            <w:r>
              <w:rPr>
                <w:rFonts w:hint="eastAsia" w:ascii="仿宋_GB2312" w:hAnsi="仿宋_GB2312" w:eastAsia="仿宋_GB2312" w:cs="仿宋_GB2312"/>
                <w:color w:val="auto"/>
                <w:kern w:val="0"/>
                <w:sz w:val="28"/>
                <w:szCs w:val="28"/>
              </w:rPr>
              <w:t>作业指导书</w:t>
            </w:r>
            <w:r>
              <w:rPr>
                <w:rFonts w:hint="eastAsia" w:ascii="仿宋_GB2312" w:hAnsi="仿宋_GB2312" w:eastAsia="仿宋_GB2312" w:cs="仿宋_GB2312"/>
                <w:color w:val="auto"/>
                <w:sz w:val="28"/>
                <w:szCs w:val="28"/>
              </w:rPr>
              <w:t>（按照GBZ188要求细分6类粉尘）</w:t>
            </w:r>
          </w:p>
        </w:tc>
        <w:tc>
          <w:tcPr>
            <w:tcW w:w="1766" w:type="dxa"/>
            <w:noWrap w:val="0"/>
            <w:vAlign w:val="center"/>
          </w:tcPr>
          <w:p>
            <w:pP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0" w:type="dxa"/>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21</w:t>
            </w:r>
          </w:p>
        </w:tc>
        <w:tc>
          <w:tcPr>
            <w:tcW w:w="5610"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高温作业人员职业健康体检</w:t>
            </w:r>
            <w:r>
              <w:rPr>
                <w:rFonts w:hint="eastAsia" w:ascii="仿宋_GB2312" w:hAnsi="仿宋_GB2312" w:eastAsia="仿宋_GB2312" w:cs="仿宋_GB2312"/>
                <w:color w:val="auto"/>
                <w:kern w:val="0"/>
                <w:sz w:val="28"/>
                <w:szCs w:val="28"/>
              </w:rPr>
              <w:t>作业指导书</w:t>
            </w:r>
          </w:p>
        </w:tc>
        <w:tc>
          <w:tcPr>
            <w:tcW w:w="1766" w:type="dxa"/>
            <w:noWrap w:val="0"/>
            <w:vAlign w:val="center"/>
          </w:tcPr>
          <w:p>
            <w:pP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390" w:type="dxa"/>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22</w:t>
            </w:r>
          </w:p>
        </w:tc>
        <w:tc>
          <w:tcPr>
            <w:tcW w:w="5610" w:type="dxa"/>
            <w:noWrap w:val="0"/>
            <w:vAlign w:val="center"/>
          </w:tcPr>
          <w:p>
            <w:pPr>
              <w:spacing w:line="48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有机溶剂作业人员职业健康体检</w:t>
            </w:r>
            <w:r>
              <w:rPr>
                <w:rFonts w:hint="eastAsia" w:ascii="仿宋_GB2312" w:hAnsi="仿宋_GB2312" w:eastAsia="仿宋_GB2312" w:cs="仿宋_GB2312"/>
                <w:color w:val="auto"/>
                <w:kern w:val="0"/>
                <w:sz w:val="28"/>
                <w:szCs w:val="28"/>
              </w:rPr>
              <w:t>作业指导书</w:t>
            </w:r>
            <w:r>
              <w:rPr>
                <w:rFonts w:hint="eastAsia" w:ascii="仿宋_GB2312" w:hAnsi="仿宋_GB2312" w:eastAsia="仿宋_GB2312" w:cs="仿宋_GB2312"/>
                <w:color w:val="auto"/>
                <w:sz w:val="28"/>
                <w:szCs w:val="28"/>
              </w:rPr>
              <w:t>（至少包括苯、正己烷、三氯乙烯、汽油等常见有机溶剂）</w:t>
            </w:r>
          </w:p>
        </w:tc>
        <w:tc>
          <w:tcPr>
            <w:tcW w:w="1766" w:type="dxa"/>
            <w:noWrap w:val="0"/>
            <w:vAlign w:val="center"/>
          </w:tcPr>
          <w:p>
            <w:pP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0" w:type="dxa"/>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23</w:t>
            </w:r>
          </w:p>
        </w:tc>
        <w:tc>
          <w:tcPr>
            <w:tcW w:w="5610"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噪声作业人员职业健康体检</w:t>
            </w:r>
            <w:r>
              <w:rPr>
                <w:rFonts w:hint="eastAsia" w:ascii="仿宋_GB2312" w:hAnsi="仿宋_GB2312" w:eastAsia="仿宋_GB2312" w:cs="仿宋_GB2312"/>
                <w:color w:val="auto"/>
                <w:kern w:val="0"/>
                <w:sz w:val="28"/>
                <w:szCs w:val="28"/>
              </w:rPr>
              <w:t>作业指导书</w:t>
            </w:r>
          </w:p>
        </w:tc>
        <w:tc>
          <w:tcPr>
            <w:tcW w:w="1766" w:type="dxa"/>
            <w:noWrap w:val="0"/>
            <w:vAlign w:val="center"/>
          </w:tcPr>
          <w:p>
            <w:pP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0" w:type="dxa"/>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24</w:t>
            </w:r>
          </w:p>
        </w:tc>
        <w:tc>
          <w:tcPr>
            <w:tcW w:w="5610"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机动车驾驶员体检</w:t>
            </w:r>
            <w:r>
              <w:rPr>
                <w:rFonts w:hint="eastAsia" w:ascii="仿宋_GB2312" w:hAnsi="仿宋_GB2312" w:eastAsia="仿宋_GB2312" w:cs="仿宋_GB2312"/>
                <w:color w:val="auto"/>
                <w:kern w:val="0"/>
                <w:sz w:val="28"/>
                <w:szCs w:val="28"/>
              </w:rPr>
              <w:t>作业指导书</w:t>
            </w:r>
          </w:p>
        </w:tc>
        <w:tc>
          <w:tcPr>
            <w:tcW w:w="1766" w:type="dxa"/>
            <w:noWrap w:val="0"/>
            <w:vAlign w:val="center"/>
          </w:tcPr>
          <w:p>
            <w:pP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0" w:type="dxa"/>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25</w:t>
            </w:r>
          </w:p>
        </w:tc>
        <w:tc>
          <w:tcPr>
            <w:tcW w:w="5610" w:type="dxa"/>
            <w:noWrap w:val="0"/>
            <w:vAlign w:val="center"/>
          </w:tcPr>
          <w:p>
            <w:pPr>
              <w:spacing w:line="48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重金属作业人员职业健康体检</w:t>
            </w:r>
            <w:r>
              <w:rPr>
                <w:rFonts w:hint="eastAsia" w:ascii="仿宋_GB2312" w:hAnsi="仿宋_GB2312" w:eastAsia="仿宋_GB2312" w:cs="仿宋_GB2312"/>
                <w:color w:val="auto"/>
                <w:kern w:val="0"/>
                <w:sz w:val="28"/>
                <w:szCs w:val="28"/>
              </w:rPr>
              <w:t>作业指导书</w:t>
            </w:r>
            <w:r>
              <w:rPr>
                <w:rFonts w:hint="eastAsia" w:ascii="仿宋_GB2312" w:hAnsi="仿宋_GB2312" w:eastAsia="仿宋_GB2312" w:cs="仿宋_GB2312"/>
                <w:color w:val="auto"/>
                <w:sz w:val="28"/>
                <w:szCs w:val="28"/>
              </w:rPr>
              <w:t>（至少包括铅、汞、锰、镉等常见重金属）</w:t>
            </w:r>
          </w:p>
        </w:tc>
        <w:tc>
          <w:tcPr>
            <w:tcW w:w="1766" w:type="dxa"/>
            <w:noWrap w:val="0"/>
            <w:vAlign w:val="center"/>
          </w:tcPr>
          <w:p>
            <w:pP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390" w:type="dxa"/>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26</w:t>
            </w:r>
          </w:p>
        </w:tc>
        <w:tc>
          <w:tcPr>
            <w:tcW w:w="5610" w:type="dxa"/>
            <w:noWrap w:val="0"/>
            <w:vAlign w:val="center"/>
          </w:tcPr>
          <w:p>
            <w:pPr>
              <w:spacing w:line="48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业健康监护记录格式一览表：《疑似职业病报告/告知卡》、《职业禁忌告知卡》、《有毒有害作业职业健康监护报卡》、《企业领取职业健康检查结果签收》、《劳动者领取职业健康检查表签收》、《职业健康检查信息表》、《放射工作人员职业健康检查信息表》、《现场职业卫生学调查表》和《职业健康检查资料汇总表》等</w:t>
            </w:r>
          </w:p>
        </w:tc>
        <w:tc>
          <w:tcPr>
            <w:tcW w:w="1766" w:type="dxa"/>
            <w:noWrap w:val="0"/>
            <w:vAlign w:val="center"/>
          </w:tcPr>
          <w:p>
            <w:pPr>
              <w:rPr>
                <w:rFonts w:hint="eastAsia" w:ascii="仿宋_GB2312" w:hAnsi="仿宋_GB2312" w:eastAsia="仿宋_GB2312" w:cs="仿宋_GB2312"/>
                <w:color w:val="auto"/>
                <w:sz w:val="28"/>
                <w:szCs w:val="28"/>
              </w:rPr>
            </w:pPr>
          </w:p>
        </w:tc>
      </w:tr>
    </w:tbl>
    <w:p>
      <w:pPr>
        <w:spacing w:beforeLines="0" w:afterLines="0" w:line="480" w:lineRule="exact"/>
        <w:rPr>
          <w:rFonts w:hint="eastAsia" w:ascii="仿宋" w:hAnsi="仿宋" w:eastAsia="仿宋" w:cs="仿宋"/>
          <w:sz w:val="28"/>
          <w:szCs w:val="28"/>
        </w:rPr>
      </w:pPr>
      <w:r>
        <w:rPr>
          <w:rFonts w:hint="eastAsia" w:ascii="仿宋" w:hAnsi="仿宋" w:eastAsia="仿宋" w:cs="仿宋"/>
          <w:sz w:val="28"/>
          <w:szCs w:val="28"/>
        </w:rPr>
        <w:t>备注：以上制度文件只是职业健康检查机构备案的基本制度文件。职业健康检查机构应根据工作实际，按照相关法规和标准要求，制定符合本单位工作实际的职业健康检查工作制度文件，并确保落实到位。</w:t>
      </w:r>
    </w:p>
    <w:p>
      <w:pPr>
        <w:rPr>
          <w:rFonts w:hint="eastAsia" w:ascii="仿宋" w:hAnsi="仿宋" w:eastAsia="仿宋" w:cs="仿宋"/>
          <w:sz w:val="32"/>
          <w:szCs w:val="32"/>
        </w:rPr>
      </w:pPr>
      <w:r>
        <w:rPr>
          <w:rFonts w:hint="eastAsia" w:ascii="黑体" w:hAnsi="黑体" w:eastAsia="黑体" w:cs="黑体"/>
          <w:sz w:val="32"/>
          <w:szCs w:val="32"/>
        </w:rPr>
        <w:t>附件4 </w:t>
      </w:r>
    </w:p>
    <w:p>
      <w:pPr>
        <w:jc w:val="center"/>
        <w:rPr>
          <w:rFonts w:hint="eastAsia" w:ascii="宋体" w:hAnsi="宋体" w:eastAsia="宋体" w:cs="宋体"/>
          <w:b/>
          <w:bCs/>
          <w:sz w:val="44"/>
          <w:szCs w:val="44"/>
        </w:rPr>
      </w:pPr>
      <w:r>
        <w:rPr>
          <w:rFonts w:hint="eastAsia" w:ascii="宋体" w:hAnsi="宋体" w:eastAsia="宋体" w:cs="宋体"/>
          <w:b/>
          <w:bCs/>
          <w:sz w:val="44"/>
          <w:szCs w:val="44"/>
        </w:rPr>
        <w:t>广东省职业健康检查机构申请备案信息报告</w:t>
      </w:r>
    </w:p>
    <w:p>
      <w:pPr>
        <w:jc w:val="center"/>
        <w:rPr>
          <w:rFonts w:hint="eastAsia" w:ascii="宋体" w:hAnsi="宋体" w:eastAsia="宋体" w:cs="宋体"/>
          <w:sz w:val="44"/>
          <w:szCs w:val="44"/>
        </w:rPr>
      </w:pPr>
      <w:r>
        <w:rPr>
          <w:rFonts w:hint="eastAsia" w:ascii="宋体" w:hAnsi="宋体" w:eastAsia="宋体" w:cs="宋体"/>
          <w:b/>
          <w:bCs/>
          <w:sz w:val="44"/>
          <w:szCs w:val="44"/>
        </w:rPr>
        <w:t>条件规范</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5513"/>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86"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机构名称</w:t>
            </w:r>
          </w:p>
        </w:tc>
        <w:tc>
          <w:tcPr>
            <w:tcW w:w="7036" w:type="dxa"/>
            <w:gridSpan w:val="2"/>
            <w:noWrap w:val="0"/>
            <w:vAlign w:val="center"/>
          </w:tcPr>
          <w:p>
            <w:pP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项目名称</w:t>
            </w:r>
          </w:p>
        </w:tc>
        <w:tc>
          <w:tcPr>
            <w:tcW w:w="5513"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申请备案信息报告条件规范</w:t>
            </w:r>
          </w:p>
        </w:tc>
        <w:tc>
          <w:tcPr>
            <w:tcW w:w="1523"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4"/>
                <w:szCs w:val="24"/>
                <w:lang w:eastAsia="zh-CN"/>
              </w:rPr>
              <w:t>需提供佐证材料形式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信息报告基本要求</w:t>
            </w:r>
          </w:p>
        </w:tc>
        <w:tc>
          <w:tcPr>
            <w:tcW w:w="5513"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应配置信息化管理人员，制定信息化管理制度，做好网络安全预案，实现信息集中管理。</w:t>
            </w:r>
          </w:p>
        </w:tc>
        <w:tc>
          <w:tcPr>
            <w:tcW w:w="1523" w:type="dxa"/>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提供人员名单及任命</w:t>
            </w:r>
            <w:r>
              <w:rPr>
                <w:rFonts w:hint="eastAsia" w:ascii="仿宋_GB2312" w:hAnsi="仿宋_GB2312" w:eastAsia="仿宋_GB2312" w:cs="仿宋_GB2312"/>
                <w:color w:val="auto"/>
                <w:sz w:val="24"/>
                <w:szCs w:val="24"/>
                <w:lang w:eastAsia="zh-CN"/>
              </w:rPr>
              <w:t>文件</w:t>
            </w:r>
            <w:r>
              <w:rPr>
                <w:rFonts w:hint="eastAsia" w:ascii="仿宋_GB2312" w:hAnsi="仿宋_GB2312" w:eastAsia="仿宋_GB2312" w:cs="仿宋_GB2312"/>
                <w:color w:val="auto"/>
                <w:sz w:val="24"/>
                <w:szCs w:val="24"/>
              </w:rPr>
              <w:t>扫描件。提供</w:t>
            </w:r>
            <w:r>
              <w:rPr>
                <w:rFonts w:hint="eastAsia" w:ascii="仿宋_GB2312" w:hAnsi="仿宋_GB2312" w:eastAsia="仿宋_GB2312" w:cs="仿宋_GB2312"/>
                <w:color w:val="auto"/>
                <w:sz w:val="24"/>
                <w:szCs w:val="24"/>
                <w:lang w:eastAsia="zh-CN"/>
              </w:rPr>
              <w:t>相关</w:t>
            </w:r>
            <w:r>
              <w:rPr>
                <w:rFonts w:hint="eastAsia" w:ascii="仿宋_GB2312" w:hAnsi="仿宋_GB2312" w:eastAsia="仿宋_GB2312" w:cs="仿宋_GB2312"/>
                <w:color w:val="auto"/>
                <w:sz w:val="24"/>
                <w:szCs w:val="24"/>
              </w:rPr>
              <w:t xml:space="preserve">制度的扫描件。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信息报告数据上传标准</w:t>
            </w:r>
          </w:p>
        </w:tc>
        <w:tc>
          <w:tcPr>
            <w:tcW w:w="5513"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职业健康检查机构信息系统能与广东省互联网+职业病防治与职业健康管理平台实现互联互通和数据完整对接。</w:t>
            </w:r>
          </w:p>
        </w:tc>
        <w:tc>
          <w:tcPr>
            <w:tcW w:w="1523" w:type="dxa"/>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提供省</w:t>
            </w:r>
            <w:r>
              <w:rPr>
                <w:rFonts w:hint="eastAsia" w:ascii="仿宋_GB2312" w:hAnsi="仿宋_GB2312" w:eastAsia="仿宋_GB2312" w:cs="仿宋_GB2312"/>
                <w:color w:val="auto"/>
                <w:sz w:val="24"/>
                <w:szCs w:val="24"/>
              </w:rPr>
              <w:t>质量控制中心信息对接证明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信息报告数据上传内容</w:t>
            </w:r>
          </w:p>
        </w:tc>
        <w:tc>
          <w:tcPr>
            <w:tcW w:w="5513"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按照平台数据上传要求及时完整的上传职业健康监护数据、职业健康监护报告卡信息、重点职业病监测数据、以及疑似职业病人的台账信息等。</w:t>
            </w:r>
          </w:p>
        </w:tc>
        <w:tc>
          <w:tcPr>
            <w:tcW w:w="1523" w:type="dxa"/>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提供</w:t>
            </w:r>
            <w:r>
              <w:rPr>
                <w:rFonts w:hint="eastAsia" w:ascii="仿宋_GB2312" w:hAnsi="仿宋_GB2312" w:eastAsia="仿宋_GB2312" w:cs="仿宋_GB2312"/>
                <w:color w:val="auto"/>
                <w:sz w:val="24"/>
                <w:szCs w:val="24"/>
                <w:lang w:eastAsia="zh-CN"/>
              </w:rPr>
              <w:t>相关</w:t>
            </w:r>
            <w:r>
              <w:rPr>
                <w:rFonts w:hint="eastAsia" w:ascii="仿宋_GB2312" w:hAnsi="仿宋_GB2312" w:eastAsia="仿宋_GB2312" w:cs="仿宋_GB2312"/>
                <w:color w:val="auto"/>
                <w:sz w:val="24"/>
                <w:szCs w:val="24"/>
              </w:rPr>
              <w:t xml:space="preserve">制度的扫描件。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信息报告数据上传时限</w:t>
            </w:r>
          </w:p>
        </w:tc>
        <w:tc>
          <w:tcPr>
            <w:tcW w:w="5513" w:type="dxa"/>
            <w:noWrap w:val="0"/>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职业健康检查工作完成后15日内完成相关信息上传，以广东省互联网+职业病防治与职业健康管理平台提供的电子回执时间为准。</w:t>
            </w:r>
          </w:p>
        </w:tc>
        <w:tc>
          <w:tcPr>
            <w:tcW w:w="1523" w:type="dxa"/>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提供</w:t>
            </w:r>
            <w:r>
              <w:rPr>
                <w:rFonts w:hint="eastAsia" w:ascii="仿宋_GB2312" w:hAnsi="仿宋_GB2312" w:eastAsia="仿宋_GB2312" w:cs="仿宋_GB2312"/>
                <w:color w:val="auto"/>
                <w:sz w:val="24"/>
                <w:szCs w:val="24"/>
                <w:lang w:eastAsia="zh-CN"/>
              </w:rPr>
              <w:t>相关</w:t>
            </w:r>
            <w:r>
              <w:rPr>
                <w:rFonts w:hint="eastAsia" w:ascii="仿宋_GB2312" w:hAnsi="仿宋_GB2312" w:eastAsia="仿宋_GB2312" w:cs="仿宋_GB2312"/>
                <w:color w:val="auto"/>
                <w:sz w:val="24"/>
                <w:szCs w:val="24"/>
              </w:rPr>
              <w:t xml:space="preserve">制度的扫描件。 </w:t>
            </w:r>
          </w:p>
        </w:tc>
      </w:tr>
    </w:tbl>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仿宋" w:hAnsi="仿宋" w:eastAsia="仿宋" w:cs="仿宋"/>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widowControl/>
        <w:spacing w:beforeLines="0" w:afterLines="0" w:line="480" w:lineRule="exact"/>
        <w:jc w:val="center"/>
        <w:rPr>
          <w:rFonts w:hint="eastAsia" w:ascii="宋体" w:hAnsi="宋体" w:eastAsia="宋体" w:cs="宋体"/>
          <w:b/>
          <w:bCs/>
          <w:sz w:val="44"/>
          <w:szCs w:val="44"/>
        </w:rPr>
      </w:pPr>
      <w:r>
        <w:rPr>
          <w:rFonts w:hint="eastAsia" w:ascii="宋体" w:hAnsi="宋体" w:eastAsia="宋体" w:cs="宋体"/>
          <w:b/>
          <w:bCs/>
          <w:sz w:val="44"/>
          <w:szCs w:val="44"/>
        </w:rPr>
        <w:t>广东省职业健康检查机构开展职业健康检查</w:t>
      </w:r>
    </w:p>
    <w:p>
      <w:pPr>
        <w:widowControl/>
        <w:spacing w:beforeLines="0" w:afterLines="0" w:line="480" w:lineRule="exact"/>
        <w:jc w:val="center"/>
        <w:rPr>
          <w:rFonts w:hint="eastAsia" w:ascii="宋体" w:hAnsi="宋体" w:eastAsia="宋体" w:cs="宋体"/>
          <w:b/>
          <w:bCs/>
          <w:sz w:val="44"/>
          <w:szCs w:val="44"/>
        </w:rPr>
      </w:pPr>
      <w:r>
        <w:rPr>
          <w:rFonts w:hint="eastAsia" w:ascii="宋体" w:hAnsi="宋体" w:eastAsia="宋体" w:cs="宋体"/>
          <w:b/>
          <w:bCs/>
          <w:sz w:val="44"/>
          <w:szCs w:val="44"/>
        </w:rPr>
        <w:t>项目备案信息对接证明表</w:t>
      </w:r>
    </w:p>
    <w:tbl>
      <w:tblPr>
        <w:tblStyle w:val="6"/>
        <w:tblW w:w="921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56"/>
        <w:gridCol w:w="1893"/>
        <w:gridCol w:w="60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jc w:val="center"/>
        </w:trPr>
        <w:tc>
          <w:tcPr>
            <w:tcW w:w="3149" w:type="dxa"/>
            <w:gridSpan w:val="2"/>
            <w:tcBorders>
              <w:top w:val="single" w:color="auto" w:sz="12" w:space="0"/>
              <w:left w:val="single" w:color="auto" w:sz="12" w:space="0"/>
              <w:bottom w:val="single" w:color="auto" w:sz="6" w:space="0"/>
              <w:right w:val="single" w:color="auto" w:sz="6" w:space="0"/>
            </w:tcBorders>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机构名称</w:t>
            </w:r>
          </w:p>
        </w:tc>
        <w:tc>
          <w:tcPr>
            <w:tcW w:w="6067" w:type="dxa"/>
            <w:tcBorders>
              <w:top w:val="single" w:color="auto" w:sz="12" w:space="0"/>
              <w:left w:val="single" w:color="auto" w:sz="6" w:space="0"/>
              <w:bottom w:val="single" w:color="auto" w:sz="6" w:space="0"/>
              <w:right w:val="single" w:color="auto" w:sz="12" w:space="0"/>
            </w:tcBorders>
            <w:noWrap w:val="0"/>
            <w:vAlign w:val="center"/>
          </w:tcPr>
          <w:p>
            <w:pPr>
              <w:spacing w:line="400" w:lineRule="exact"/>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85" w:hRule="atLeast"/>
          <w:jc w:val="center"/>
        </w:trPr>
        <w:tc>
          <w:tcPr>
            <w:tcW w:w="3149" w:type="dxa"/>
            <w:gridSpan w:val="2"/>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申请项目</w:t>
            </w:r>
          </w:p>
        </w:tc>
        <w:tc>
          <w:tcPr>
            <w:tcW w:w="6067" w:type="dxa"/>
            <w:tcBorders>
              <w:top w:val="single" w:color="auto" w:sz="6" w:space="0"/>
              <w:left w:val="single" w:color="auto" w:sz="6" w:space="0"/>
              <w:bottom w:val="single" w:color="auto" w:sz="6" w:space="0"/>
              <w:right w:val="single" w:color="auto" w:sz="12" w:space="0"/>
            </w:tcBorders>
            <w:noWrap w:val="0"/>
            <w:vAlign w:val="center"/>
          </w:tcPr>
          <w:p>
            <w:pPr>
              <w:spacing w:line="360" w:lineRule="exact"/>
              <w:rPr>
                <w:rFonts w:hint="eastAsia" w:ascii="仿宋" w:hAnsi="仿宋" w:eastAsia="仿宋" w:cs="仿宋"/>
                <w:sz w:val="28"/>
                <w:szCs w:val="28"/>
                <w:lang w:val="en-US" w:eastAsia="zh-CN"/>
              </w:rPr>
            </w:pPr>
            <w:r>
              <w:rPr>
                <w:rFonts w:hint="eastAsia" w:ascii="仿宋" w:hAnsi="仿宋" w:eastAsia="仿宋" w:cs="仿宋"/>
                <w:sz w:val="28"/>
                <w:szCs w:val="28"/>
              </w:rPr>
              <w:t>□1. 接触粉尘</w:t>
            </w:r>
            <w:r>
              <w:rPr>
                <w:rFonts w:hint="eastAsia" w:ascii="仿宋" w:hAnsi="仿宋" w:eastAsia="仿宋" w:cs="仿宋"/>
                <w:sz w:val="28"/>
                <w:szCs w:val="28"/>
                <w:lang w:eastAsia="zh-CN"/>
              </w:rPr>
              <w:t>类</w:t>
            </w:r>
            <w:r>
              <w:rPr>
                <w:rFonts w:hint="eastAsia" w:ascii="仿宋" w:hAnsi="仿宋" w:eastAsia="仿宋" w:cs="仿宋"/>
                <w:sz w:val="28"/>
                <w:szCs w:val="28"/>
                <w:lang w:val="en-US" w:eastAsia="zh-CN"/>
              </w:rPr>
              <w:t xml:space="preserve">     </w:t>
            </w:r>
          </w:p>
          <w:p>
            <w:pPr>
              <w:spacing w:line="360" w:lineRule="exact"/>
              <w:rPr>
                <w:rFonts w:ascii="仿宋" w:hAnsi="仿宋" w:eastAsia="仿宋" w:cs="仿宋"/>
                <w:sz w:val="28"/>
                <w:szCs w:val="28"/>
              </w:rPr>
            </w:pPr>
            <w:r>
              <w:rPr>
                <w:rFonts w:hint="eastAsia" w:ascii="仿宋" w:hAnsi="仿宋" w:eastAsia="仿宋" w:cs="仿宋"/>
                <w:sz w:val="28"/>
                <w:szCs w:val="28"/>
              </w:rPr>
              <w:t>□2. 接触化学因素</w:t>
            </w:r>
            <w:r>
              <w:rPr>
                <w:rFonts w:hint="eastAsia" w:ascii="仿宋" w:hAnsi="仿宋" w:eastAsia="仿宋" w:cs="仿宋"/>
                <w:sz w:val="28"/>
                <w:szCs w:val="28"/>
                <w:lang w:eastAsia="zh-CN"/>
              </w:rPr>
              <w:t>类</w:t>
            </w:r>
          </w:p>
          <w:p>
            <w:pPr>
              <w:spacing w:line="360" w:lineRule="exact"/>
              <w:rPr>
                <w:rFonts w:hint="eastAsia" w:ascii="仿宋" w:hAnsi="仿宋" w:eastAsia="仿宋" w:cs="仿宋"/>
                <w:sz w:val="28"/>
                <w:szCs w:val="28"/>
                <w:lang w:val="en-US" w:eastAsia="zh-CN"/>
              </w:rPr>
            </w:pPr>
            <w:r>
              <w:rPr>
                <w:rFonts w:hint="eastAsia" w:ascii="仿宋" w:hAnsi="仿宋" w:eastAsia="仿宋" w:cs="仿宋"/>
                <w:sz w:val="28"/>
                <w:szCs w:val="28"/>
              </w:rPr>
              <w:t>□3. 接触物理因素</w:t>
            </w:r>
            <w:r>
              <w:rPr>
                <w:rFonts w:hint="eastAsia" w:ascii="仿宋" w:hAnsi="仿宋" w:eastAsia="仿宋" w:cs="仿宋"/>
                <w:sz w:val="28"/>
                <w:szCs w:val="28"/>
                <w:lang w:eastAsia="zh-CN"/>
              </w:rPr>
              <w:t>类</w:t>
            </w:r>
            <w:r>
              <w:rPr>
                <w:rFonts w:hint="eastAsia" w:ascii="仿宋" w:hAnsi="仿宋" w:eastAsia="仿宋" w:cs="仿宋"/>
                <w:sz w:val="28"/>
                <w:szCs w:val="28"/>
                <w:lang w:val="en-US" w:eastAsia="zh-CN"/>
              </w:rPr>
              <w:t xml:space="preserve">  </w:t>
            </w:r>
          </w:p>
          <w:p>
            <w:pPr>
              <w:spacing w:line="360" w:lineRule="exact"/>
              <w:rPr>
                <w:rFonts w:ascii="仿宋" w:hAnsi="仿宋" w:eastAsia="仿宋" w:cs="仿宋"/>
                <w:sz w:val="28"/>
                <w:szCs w:val="28"/>
              </w:rPr>
            </w:pPr>
            <w:r>
              <w:rPr>
                <w:rFonts w:hint="eastAsia" w:ascii="仿宋" w:hAnsi="仿宋" w:eastAsia="仿宋" w:cs="仿宋"/>
                <w:sz w:val="28"/>
                <w:szCs w:val="28"/>
              </w:rPr>
              <w:t>□4. 接触生物因素</w:t>
            </w:r>
            <w:r>
              <w:rPr>
                <w:rFonts w:hint="eastAsia" w:ascii="仿宋" w:hAnsi="仿宋" w:eastAsia="仿宋" w:cs="仿宋"/>
                <w:sz w:val="28"/>
                <w:szCs w:val="28"/>
                <w:lang w:eastAsia="zh-CN"/>
              </w:rPr>
              <w:t>类</w:t>
            </w:r>
          </w:p>
          <w:p>
            <w:pPr>
              <w:spacing w:line="360" w:lineRule="exact"/>
              <w:rPr>
                <w:rFonts w:ascii="仿宋" w:hAnsi="仿宋" w:eastAsia="仿宋" w:cs="仿宋"/>
                <w:sz w:val="28"/>
                <w:szCs w:val="28"/>
              </w:rPr>
            </w:pPr>
            <w:r>
              <w:rPr>
                <w:rFonts w:hint="eastAsia" w:ascii="仿宋" w:hAnsi="仿宋" w:eastAsia="仿宋" w:cs="仿宋"/>
                <w:sz w:val="28"/>
                <w:szCs w:val="28"/>
              </w:rPr>
              <w:t>□5. 接触放射因素</w:t>
            </w:r>
            <w:r>
              <w:rPr>
                <w:rFonts w:hint="eastAsia" w:ascii="仿宋" w:hAnsi="仿宋" w:eastAsia="仿宋" w:cs="仿宋"/>
                <w:sz w:val="28"/>
                <w:szCs w:val="28"/>
                <w:lang w:eastAsia="zh-CN"/>
              </w:rPr>
              <w:t>类</w:t>
            </w:r>
          </w:p>
          <w:p>
            <w:pPr>
              <w:spacing w:line="360" w:lineRule="exact"/>
              <w:rPr>
                <w:rFonts w:ascii="仿宋" w:hAnsi="仿宋" w:eastAsia="仿宋" w:cs="仿宋"/>
                <w:sz w:val="28"/>
                <w:szCs w:val="28"/>
              </w:rPr>
            </w:pPr>
            <w:r>
              <w:rPr>
                <w:rFonts w:hint="eastAsia" w:ascii="仿宋" w:hAnsi="仿宋" w:eastAsia="仿宋" w:cs="仿宋"/>
                <w:sz w:val="28"/>
                <w:szCs w:val="28"/>
              </w:rPr>
              <w:t>□6. 其他</w:t>
            </w:r>
            <w:r>
              <w:rPr>
                <w:rFonts w:hint="eastAsia" w:ascii="仿宋" w:hAnsi="仿宋" w:eastAsia="仿宋" w:cs="仿宋"/>
                <w:sz w:val="28"/>
                <w:szCs w:val="28"/>
                <w:lang w:eastAsia="zh-CN"/>
              </w:rPr>
              <w:t>类</w:t>
            </w:r>
            <w:r>
              <w:rPr>
                <w:rFonts w:hint="eastAsia" w:ascii="仿宋" w:hAnsi="仿宋" w:eastAsia="仿宋" w:cs="仿宋"/>
                <w:sz w:val="28"/>
                <w:szCs w:val="28"/>
              </w:rPr>
              <w:t>（特殊作业等）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8" w:hRule="atLeast"/>
          <w:jc w:val="center"/>
        </w:trPr>
        <w:tc>
          <w:tcPr>
            <w:tcW w:w="1256" w:type="dxa"/>
            <w:vMerge w:val="restart"/>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职业健康管理平台信息对接情况</w:t>
            </w:r>
          </w:p>
        </w:tc>
        <w:tc>
          <w:tcPr>
            <w:tcW w:w="1893"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仿宋" w:hAnsi="仿宋" w:eastAsia="仿宋" w:cs="仿宋"/>
                <w:sz w:val="28"/>
                <w:szCs w:val="28"/>
              </w:rPr>
            </w:pPr>
            <w:r>
              <w:rPr>
                <w:rFonts w:hint="eastAsia" w:ascii="仿宋" w:hAnsi="仿宋" w:eastAsia="仿宋" w:cs="仿宋"/>
                <w:sz w:val="28"/>
                <w:szCs w:val="28"/>
              </w:rPr>
              <w:t>数据上传</w:t>
            </w:r>
          </w:p>
          <w:p>
            <w:pPr>
              <w:spacing w:line="360" w:lineRule="exact"/>
              <w:jc w:val="center"/>
              <w:rPr>
                <w:rFonts w:ascii="仿宋" w:hAnsi="仿宋" w:eastAsia="仿宋" w:cs="仿宋"/>
                <w:sz w:val="28"/>
                <w:szCs w:val="28"/>
              </w:rPr>
            </w:pPr>
            <w:r>
              <w:rPr>
                <w:rFonts w:hint="eastAsia" w:ascii="仿宋" w:hAnsi="仿宋" w:eastAsia="仿宋" w:cs="仿宋"/>
                <w:sz w:val="28"/>
                <w:szCs w:val="28"/>
              </w:rPr>
              <w:t>情况</w:t>
            </w:r>
          </w:p>
        </w:tc>
        <w:tc>
          <w:tcPr>
            <w:tcW w:w="6067"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23" w:hRule="atLeast"/>
          <w:jc w:val="center"/>
        </w:trPr>
        <w:tc>
          <w:tcPr>
            <w:tcW w:w="1256"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rFonts w:ascii="仿宋" w:hAnsi="仿宋" w:eastAsia="仿宋" w:cs="仿宋"/>
                <w:sz w:val="28"/>
                <w:szCs w:val="28"/>
              </w:rPr>
            </w:pPr>
          </w:p>
        </w:tc>
        <w:tc>
          <w:tcPr>
            <w:tcW w:w="1893"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仿宋" w:hAnsi="仿宋" w:eastAsia="仿宋" w:cs="仿宋"/>
                <w:sz w:val="28"/>
                <w:szCs w:val="28"/>
              </w:rPr>
            </w:pPr>
            <w:r>
              <w:rPr>
                <w:rFonts w:hint="eastAsia" w:ascii="仿宋" w:hAnsi="仿宋" w:eastAsia="仿宋" w:cs="仿宋"/>
                <w:sz w:val="28"/>
                <w:szCs w:val="28"/>
              </w:rPr>
              <w:t>上传数据</w:t>
            </w:r>
          </w:p>
          <w:p>
            <w:pPr>
              <w:spacing w:line="360" w:lineRule="exact"/>
              <w:jc w:val="center"/>
              <w:rPr>
                <w:rFonts w:ascii="仿宋" w:hAnsi="仿宋" w:eastAsia="仿宋" w:cs="仿宋"/>
                <w:sz w:val="28"/>
                <w:szCs w:val="28"/>
              </w:rPr>
            </w:pPr>
            <w:r>
              <w:rPr>
                <w:rFonts w:hint="eastAsia" w:ascii="仿宋" w:hAnsi="仿宋" w:eastAsia="仿宋" w:cs="仿宋"/>
                <w:sz w:val="28"/>
                <w:szCs w:val="28"/>
              </w:rPr>
              <w:t>是否完整</w:t>
            </w:r>
          </w:p>
        </w:tc>
        <w:tc>
          <w:tcPr>
            <w:tcW w:w="6067"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5" w:hRule="atLeast"/>
          <w:jc w:val="center"/>
        </w:trPr>
        <w:tc>
          <w:tcPr>
            <w:tcW w:w="1256"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rFonts w:ascii="仿宋" w:hAnsi="仿宋" w:eastAsia="仿宋" w:cs="仿宋"/>
                <w:sz w:val="28"/>
                <w:szCs w:val="28"/>
              </w:rPr>
            </w:pPr>
          </w:p>
        </w:tc>
        <w:tc>
          <w:tcPr>
            <w:tcW w:w="1893"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仿宋" w:hAnsi="仿宋" w:eastAsia="仿宋" w:cs="仿宋"/>
                <w:sz w:val="28"/>
                <w:szCs w:val="28"/>
              </w:rPr>
            </w:pPr>
            <w:r>
              <w:rPr>
                <w:rFonts w:hint="eastAsia" w:ascii="仿宋" w:hAnsi="仿宋" w:eastAsia="仿宋" w:cs="仿宋"/>
                <w:sz w:val="28"/>
                <w:szCs w:val="28"/>
              </w:rPr>
              <w:t>上传数据</w:t>
            </w:r>
          </w:p>
          <w:p>
            <w:pPr>
              <w:spacing w:line="360" w:lineRule="exact"/>
              <w:jc w:val="center"/>
              <w:rPr>
                <w:rFonts w:ascii="仿宋" w:hAnsi="仿宋" w:eastAsia="仿宋" w:cs="仿宋"/>
                <w:sz w:val="28"/>
                <w:szCs w:val="28"/>
              </w:rPr>
            </w:pPr>
            <w:r>
              <w:rPr>
                <w:rFonts w:hint="eastAsia" w:ascii="仿宋" w:hAnsi="仿宋" w:eastAsia="仿宋" w:cs="仿宋"/>
                <w:sz w:val="28"/>
                <w:szCs w:val="28"/>
              </w:rPr>
              <w:t>是否规范</w:t>
            </w:r>
          </w:p>
        </w:tc>
        <w:tc>
          <w:tcPr>
            <w:tcW w:w="6067"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48" w:hRule="atLeast"/>
          <w:jc w:val="center"/>
        </w:trPr>
        <w:tc>
          <w:tcPr>
            <w:tcW w:w="1256"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rFonts w:ascii="仿宋" w:hAnsi="仿宋" w:eastAsia="仿宋" w:cs="仿宋"/>
                <w:sz w:val="28"/>
                <w:szCs w:val="28"/>
              </w:rPr>
            </w:pPr>
          </w:p>
        </w:tc>
        <w:tc>
          <w:tcPr>
            <w:tcW w:w="1893" w:type="dxa"/>
            <w:tcBorders>
              <w:top w:val="single" w:color="auto" w:sz="6" w:space="0"/>
              <w:left w:val="single" w:color="auto" w:sz="6" w:space="0"/>
              <w:right w:val="single" w:color="auto" w:sz="6" w:space="0"/>
            </w:tcBorders>
            <w:noWrap w:val="0"/>
            <w:vAlign w:val="center"/>
          </w:tcPr>
          <w:p>
            <w:pPr>
              <w:spacing w:line="360" w:lineRule="exact"/>
              <w:jc w:val="center"/>
              <w:rPr>
                <w:rFonts w:hint="eastAsia" w:ascii="仿宋" w:hAnsi="仿宋" w:eastAsia="仿宋" w:cs="仿宋"/>
                <w:sz w:val="28"/>
                <w:szCs w:val="28"/>
              </w:rPr>
            </w:pPr>
            <w:r>
              <w:rPr>
                <w:rFonts w:hint="eastAsia" w:ascii="仿宋" w:hAnsi="仿宋" w:eastAsia="仿宋" w:cs="仿宋"/>
                <w:sz w:val="28"/>
                <w:szCs w:val="28"/>
              </w:rPr>
              <w:t>上传数据</w:t>
            </w:r>
          </w:p>
          <w:p>
            <w:pPr>
              <w:spacing w:line="360" w:lineRule="exact"/>
              <w:jc w:val="center"/>
              <w:rPr>
                <w:rFonts w:ascii="仿宋" w:hAnsi="仿宋" w:eastAsia="仿宋" w:cs="仿宋"/>
                <w:kern w:val="0"/>
                <w:sz w:val="28"/>
                <w:szCs w:val="28"/>
                <w:lang w:val="zh-CN"/>
              </w:rPr>
            </w:pPr>
            <w:r>
              <w:rPr>
                <w:rFonts w:hint="eastAsia" w:ascii="仿宋" w:hAnsi="仿宋" w:eastAsia="仿宋" w:cs="仿宋"/>
                <w:sz w:val="28"/>
                <w:szCs w:val="28"/>
              </w:rPr>
              <w:t>稳定情况</w:t>
            </w:r>
          </w:p>
        </w:tc>
        <w:tc>
          <w:tcPr>
            <w:tcW w:w="6067" w:type="dxa"/>
            <w:tcBorders>
              <w:top w:val="single" w:color="auto" w:sz="6" w:space="0"/>
              <w:left w:val="single" w:color="auto" w:sz="6" w:space="0"/>
              <w:right w:val="single" w:color="auto" w:sz="12" w:space="0"/>
            </w:tcBorders>
            <w:noWrap w:val="0"/>
            <w:vAlign w:val="center"/>
          </w:tcPr>
          <w:p>
            <w:pPr>
              <w:spacing w:line="400" w:lineRule="exact"/>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30" w:hRule="atLeast"/>
          <w:jc w:val="center"/>
        </w:trPr>
        <w:tc>
          <w:tcPr>
            <w:tcW w:w="9216" w:type="dxa"/>
            <w:gridSpan w:val="3"/>
            <w:tcBorders>
              <w:top w:val="single" w:color="auto" w:sz="6" w:space="0"/>
              <w:left w:val="single" w:color="auto" w:sz="12" w:space="0"/>
              <w:bottom w:val="single" w:color="auto" w:sz="6" w:space="0"/>
              <w:right w:val="single" w:color="auto" w:sz="12" w:space="0"/>
            </w:tcBorders>
            <w:noWrap w:val="0"/>
            <w:vAlign w:val="center"/>
          </w:tcPr>
          <w:p>
            <w:pPr>
              <w:spacing w:line="34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lang w:val="zh-CN"/>
              </w:rPr>
              <w:t>经本中心与广东省职业健康管理平台对申请备案机构数据对接情况进行核定，认定其具备与广东省职业健康管理平台信息对接的能力。</w:t>
            </w:r>
          </w:p>
          <w:p>
            <w:pPr>
              <w:spacing w:line="34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spacing w:line="340" w:lineRule="exact"/>
              <w:jc w:val="left"/>
              <w:rPr>
                <w:rFonts w:hint="eastAsia" w:ascii="仿宋" w:hAnsi="仿宋" w:eastAsia="仿宋" w:cs="仿宋"/>
                <w:kern w:val="0"/>
                <w:sz w:val="28"/>
                <w:szCs w:val="28"/>
              </w:rPr>
            </w:pPr>
          </w:p>
          <w:p>
            <w:pPr>
              <w:spacing w:line="340" w:lineRule="exact"/>
              <w:ind w:firstLine="3220" w:firstLineChars="1150"/>
              <w:jc w:val="left"/>
              <w:rPr>
                <w:rFonts w:ascii="仿宋" w:hAnsi="仿宋" w:eastAsia="仿宋" w:cs="仿宋"/>
                <w:kern w:val="0"/>
                <w:sz w:val="28"/>
                <w:szCs w:val="28"/>
                <w:lang w:val="zh-CN"/>
              </w:rPr>
            </w:pPr>
            <w:r>
              <w:rPr>
                <w:rFonts w:hint="eastAsia" w:ascii="仿宋" w:hAnsi="仿宋" w:eastAsia="仿宋" w:cs="仿宋"/>
                <w:kern w:val="0"/>
                <w:sz w:val="28"/>
                <w:szCs w:val="28"/>
              </w:rPr>
              <w:t>广东省职业健康检查</w:t>
            </w:r>
            <w:r>
              <w:rPr>
                <w:rFonts w:hint="eastAsia" w:ascii="仿宋" w:hAnsi="仿宋" w:eastAsia="仿宋" w:cs="仿宋"/>
                <w:kern w:val="0"/>
                <w:sz w:val="28"/>
                <w:szCs w:val="28"/>
                <w:lang w:val="zh-CN"/>
              </w:rPr>
              <w:t>质量控制中心（盖章）</w:t>
            </w:r>
          </w:p>
          <w:p>
            <w:pPr>
              <w:spacing w:line="360" w:lineRule="exact"/>
              <w:ind w:left="8015" w:leftChars="2350" w:hanging="3080" w:hangingChars="1100"/>
              <w:jc w:val="left"/>
              <w:rPr>
                <w:rFonts w:ascii="仿宋" w:hAnsi="仿宋" w:eastAsia="仿宋" w:cs="仿宋"/>
                <w:sz w:val="28"/>
                <w:szCs w:val="28"/>
              </w:rPr>
            </w:pPr>
            <w:r>
              <w:rPr>
                <w:rFonts w:hint="eastAsia" w:ascii="仿宋" w:hAnsi="仿宋" w:eastAsia="仿宋" w:cs="仿宋"/>
                <w:kern w:val="0"/>
                <w:sz w:val="28"/>
                <w:szCs w:val="28"/>
                <w:lang w:val="zh-CN"/>
              </w:rPr>
              <w:t xml:space="preserve"> 年   月   日</w:t>
            </w:r>
          </w:p>
        </w:tc>
      </w:tr>
    </w:tbl>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仿宋" w:hAnsi="仿宋" w:eastAsia="仿宋" w:cs="仿宋"/>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p>
    <w:p>
      <w:pPr>
        <w:widowControl/>
        <w:spacing w:before="0" w:beforeLines="0" w:after="0" w:afterLines="0" w:line="480" w:lineRule="exact"/>
        <w:jc w:val="center"/>
        <w:rPr>
          <w:rFonts w:hint="eastAsia" w:ascii="宋体" w:hAnsi="宋体" w:eastAsia="宋体" w:cs="宋体"/>
          <w:b/>
          <w:bCs/>
          <w:sz w:val="44"/>
          <w:szCs w:val="44"/>
        </w:rPr>
      </w:pPr>
      <w:r>
        <w:rPr>
          <w:rFonts w:hint="eastAsia" w:ascii="宋体" w:hAnsi="宋体" w:eastAsia="宋体" w:cs="宋体"/>
          <w:b/>
          <w:bCs/>
          <w:sz w:val="44"/>
          <w:szCs w:val="44"/>
        </w:rPr>
        <w:t>广东省职业健康检查质量控制中心</w:t>
      </w:r>
    </w:p>
    <w:p>
      <w:pPr>
        <w:widowControl/>
        <w:spacing w:before="0" w:beforeLines="0" w:after="0" w:afterLines="0" w:line="480" w:lineRule="exact"/>
        <w:jc w:val="center"/>
        <w:rPr>
          <w:rFonts w:hint="eastAsia" w:ascii="宋体" w:hAnsi="宋体" w:eastAsia="宋体" w:cs="宋体"/>
          <w:b/>
          <w:bCs/>
          <w:sz w:val="44"/>
          <w:szCs w:val="44"/>
        </w:rPr>
      </w:pPr>
      <w:r>
        <w:rPr>
          <w:rFonts w:hint="eastAsia" w:ascii="宋体" w:hAnsi="宋体" w:eastAsia="宋体" w:cs="宋体"/>
          <w:b/>
          <w:bCs/>
          <w:sz w:val="44"/>
          <w:szCs w:val="44"/>
        </w:rPr>
        <w:t>染色体畸变分析及微核分析能力证明</w:t>
      </w:r>
    </w:p>
    <w:tbl>
      <w:tblPr>
        <w:tblStyle w:val="6"/>
        <w:tblW w:w="921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67"/>
        <w:gridCol w:w="62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7" w:hRule="atLeast"/>
          <w:jc w:val="center"/>
        </w:trPr>
        <w:tc>
          <w:tcPr>
            <w:tcW w:w="2967" w:type="dxa"/>
            <w:tcBorders>
              <w:top w:val="single" w:color="auto" w:sz="12" w:space="0"/>
              <w:left w:val="single" w:color="auto" w:sz="12" w:space="0"/>
              <w:bottom w:val="single" w:color="auto" w:sz="6" w:space="0"/>
              <w:right w:val="single" w:color="auto" w:sz="6" w:space="0"/>
            </w:tcBorders>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机构名称</w:t>
            </w:r>
          </w:p>
        </w:tc>
        <w:tc>
          <w:tcPr>
            <w:tcW w:w="6249" w:type="dxa"/>
            <w:tcBorders>
              <w:top w:val="single" w:color="auto" w:sz="12" w:space="0"/>
              <w:left w:val="single" w:color="auto" w:sz="6" w:space="0"/>
              <w:bottom w:val="single" w:color="auto" w:sz="6" w:space="0"/>
              <w:right w:val="single" w:color="auto" w:sz="12" w:space="0"/>
            </w:tcBorders>
            <w:noWrap w:val="0"/>
            <w:vAlign w:val="center"/>
          </w:tcPr>
          <w:p>
            <w:pPr>
              <w:spacing w:line="400" w:lineRule="exact"/>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7" w:hRule="atLeast"/>
          <w:jc w:val="center"/>
        </w:trPr>
        <w:tc>
          <w:tcPr>
            <w:tcW w:w="2967"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申请项目</w:t>
            </w:r>
          </w:p>
        </w:tc>
        <w:tc>
          <w:tcPr>
            <w:tcW w:w="6249" w:type="dxa"/>
            <w:tcBorders>
              <w:top w:val="single" w:color="auto" w:sz="6" w:space="0"/>
              <w:left w:val="single" w:color="auto" w:sz="6" w:space="0"/>
              <w:bottom w:val="single" w:color="auto" w:sz="6" w:space="0"/>
              <w:right w:val="single" w:color="auto" w:sz="12" w:space="0"/>
            </w:tcBorders>
            <w:noWrap w:val="0"/>
            <w:vAlign w:val="center"/>
          </w:tcPr>
          <w:p>
            <w:pPr>
              <w:spacing w:line="360" w:lineRule="exact"/>
              <w:ind w:firstLine="280" w:firstLineChars="100"/>
              <w:rPr>
                <w:rFonts w:ascii="仿宋" w:hAnsi="仿宋" w:eastAsia="仿宋" w:cs="仿宋"/>
                <w:sz w:val="28"/>
                <w:szCs w:val="28"/>
              </w:rPr>
            </w:pPr>
            <w:r>
              <w:rPr>
                <w:rFonts w:hint="eastAsia" w:ascii="仿宋" w:hAnsi="仿宋" w:eastAsia="仿宋" w:cs="仿宋"/>
                <w:sz w:val="28"/>
                <w:szCs w:val="28"/>
              </w:rPr>
              <w:t>接触放射因素</w:t>
            </w:r>
            <w:r>
              <w:rPr>
                <w:rFonts w:hint="eastAsia" w:ascii="仿宋" w:hAnsi="仿宋" w:eastAsia="仿宋" w:cs="仿宋"/>
                <w:sz w:val="28"/>
                <w:szCs w:val="28"/>
                <w:lang w:eastAsia="zh-CN"/>
              </w:rPr>
              <w:t>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2" w:hRule="atLeast"/>
          <w:jc w:val="center"/>
        </w:trPr>
        <w:tc>
          <w:tcPr>
            <w:tcW w:w="2967"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人员配置情况</w:t>
            </w:r>
          </w:p>
        </w:tc>
        <w:tc>
          <w:tcPr>
            <w:tcW w:w="6249" w:type="dxa"/>
            <w:tcBorders>
              <w:top w:val="single" w:color="auto" w:sz="6" w:space="0"/>
              <w:left w:val="single" w:color="auto" w:sz="6" w:space="0"/>
              <w:bottom w:val="single" w:color="auto" w:sz="6" w:space="0"/>
              <w:right w:val="single" w:color="auto" w:sz="12" w:space="0"/>
            </w:tcBorders>
            <w:noWrap w:val="0"/>
            <w:vAlign w:val="center"/>
          </w:tcPr>
          <w:p>
            <w:pPr>
              <w:spacing w:line="360" w:lineRule="exact"/>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48" w:hRule="atLeast"/>
          <w:jc w:val="center"/>
        </w:trPr>
        <w:tc>
          <w:tcPr>
            <w:tcW w:w="2967"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设备（仪器）配置情况</w:t>
            </w:r>
          </w:p>
        </w:tc>
        <w:tc>
          <w:tcPr>
            <w:tcW w:w="6249" w:type="dxa"/>
            <w:tcBorders>
              <w:top w:val="single" w:color="auto" w:sz="6" w:space="0"/>
              <w:left w:val="single" w:color="auto" w:sz="6" w:space="0"/>
              <w:bottom w:val="single" w:color="auto" w:sz="6" w:space="0"/>
              <w:right w:val="single" w:color="auto" w:sz="12" w:space="0"/>
            </w:tcBorders>
            <w:noWrap w:val="0"/>
            <w:vAlign w:val="center"/>
          </w:tcPr>
          <w:p>
            <w:pPr>
              <w:spacing w:line="360" w:lineRule="exact"/>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07" w:hRule="atLeast"/>
          <w:jc w:val="center"/>
        </w:trPr>
        <w:tc>
          <w:tcPr>
            <w:tcW w:w="2967"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质量控制情况</w:t>
            </w:r>
          </w:p>
        </w:tc>
        <w:tc>
          <w:tcPr>
            <w:tcW w:w="6249" w:type="dxa"/>
            <w:tcBorders>
              <w:top w:val="single" w:color="auto" w:sz="6" w:space="0"/>
              <w:left w:val="single" w:color="auto" w:sz="6" w:space="0"/>
              <w:bottom w:val="single" w:color="auto" w:sz="6" w:space="0"/>
              <w:right w:val="single" w:color="auto" w:sz="12" w:space="0"/>
            </w:tcBorders>
            <w:noWrap w:val="0"/>
            <w:vAlign w:val="center"/>
          </w:tcPr>
          <w:p>
            <w:pPr>
              <w:spacing w:line="360" w:lineRule="exact"/>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99" w:hRule="atLeast"/>
          <w:jc w:val="center"/>
        </w:trPr>
        <w:tc>
          <w:tcPr>
            <w:tcW w:w="2967"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职业健康检查样本</w:t>
            </w:r>
          </w:p>
          <w:p>
            <w:pPr>
              <w:spacing w:line="400" w:lineRule="exact"/>
              <w:jc w:val="center"/>
              <w:rPr>
                <w:rFonts w:ascii="仿宋" w:hAnsi="仿宋" w:eastAsia="仿宋" w:cs="仿宋"/>
                <w:sz w:val="28"/>
                <w:szCs w:val="28"/>
              </w:rPr>
            </w:pPr>
            <w:r>
              <w:rPr>
                <w:rFonts w:hint="eastAsia" w:ascii="仿宋" w:hAnsi="仿宋" w:eastAsia="仿宋" w:cs="仿宋"/>
                <w:sz w:val="28"/>
                <w:szCs w:val="28"/>
              </w:rPr>
              <w:t>处理能力</w:t>
            </w:r>
          </w:p>
        </w:tc>
        <w:tc>
          <w:tcPr>
            <w:tcW w:w="6249" w:type="dxa"/>
            <w:tcBorders>
              <w:top w:val="single" w:color="auto" w:sz="6" w:space="0"/>
              <w:left w:val="single" w:color="auto" w:sz="6" w:space="0"/>
              <w:bottom w:val="single" w:color="auto" w:sz="6" w:space="0"/>
              <w:right w:val="single" w:color="auto" w:sz="12" w:space="0"/>
            </w:tcBorders>
            <w:noWrap w:val="0"/>
            <w:vAlign w:val="center"/>
          </w:tcPr>
          <w:p>
            <w:pPr>
              <w:spacing w:line="340" w:lineRule="exact"/>
              <w:jc w:val="left"/>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lang w:val="zh-CN"/>
              </w:rPr>
              <w:t>年  月  日 ，经广东省职业健康质量控制中心组织的专家</w:t>
            </w:r>
            <w:r>
              <w:rPr>
                <w:rFonts w:hint="eastAsia" w:ascii="仿宋" w:hAnsi="仿宋" w:eastAsia="仿宋" w:cs="仿宋"/>
                <w:kern w:val="0"/>
                <w:sz w:val="28"/>
                <w:szCs w:val="28"/>
              </w:rPr>
              <w:t>_______、_______、_______、_______、_______（不少于3名）</w:t>
            </w:r>
            <w:r>
              <w:rPr>
                <w:rFonts w:hint="eastAsia" w:ascii="仿宋" w:hAnsi="仿宋" w:eastAsia="仿宋" w:cs="仿宋"/>
                <w:kern w:val="0"/>
                <w:sz w:val="28"/>
                <w:szCs w:val="28"/>
                <w:lang w:val="zh-CN"/>
              </w:rPr>
              <w:t>对</w:t>
            </w:r>
            <w:r>
              <w:rPr>
                <w:rFonts w:hint="eastAsia" w:ascii="仿宋" w:hAnsi="仿宋" w:eastAsia="仿宋" w:cs="仿宋"/>
                <w:kern w:val="0"/>
                <w:sz w:val="28"/>
                <w:szCs w:val="28"/>
              </w:rPr>
              <w:t>上述</w:t>
            </w:r>
            <w:r>
              <w:rPr>
                <w:rFonts w:hint="eastAsia" w:ascii="仿宋" w:hAnsi="仿宋" w:eastAsia="仿宋" w:cs="仿宋"/>
                <w:kern w:val="0"/>
                <w:sz w:val="28"/>
                <w:szCs w:val="28"/>
                <w:lang w:val="zh-CN"/>
              </w:rPr>
              <w:t>机构提出的职业健康检查能力项目和样本处理能力进行核定，认定其具备开展染色体畸变分析及微核分析能力。</w:t>
            </w:r>
          </w:p>
          <w:p>
            <w:pPr>
              <w:spacing w:line="340" w:lineRule="exact"/>
              <w:jc w:val="left"/>
              <w:rPr>
                <w:rFonts w:ascii="仿宋" w:hAnsi="仿宋" w:eastAsia="仿宋" w:cs="仿宋"/>
                <w:kern w:val="0"/>
                <w:sz w:val="28"/>
                <w:szCs w:val="28"/>
                <w:lang w:val="zh-CN"/>
              </w:rPr>
            </w:pPr>
          </w:p>
          <w:p>
            <w:pPr>
              <w:spacing w:line="340" w:lineRule="exact"/>
              <w:jc w:val="left"/>
              <w:rPr>
                <w:rFonts w:ascii="仿宋" w:hAnsi="仿宋" w:eastAsia="仿宋" w:cs="仿宋"/>
                <w:kern w:val="0"/>
                <w:sz w:val="28"/>
                <w:szCs w:val="28"/>
              </w:rPr>
            </w:pPr>
            <w:r>
              <w:rPr>
                <w:rFonts w:hint="eastAsia" w:ascii="仿宋" w:hAnsi="仿宋" w:eastAsia="仿宋" w:cs="仿宋"/>
                <w:kern w:val="0"/>
                <w:sz w:val="28"/>
                <w:szCs w:val="28"/>
                <w:lang w:val="zh-CN"/>
              </w:rPr>
              <w:t>专家签名：</w:t>
            </w:r>
            <w:r>
              <w:rPr>
                <w:rFonts w:hint="eastAsia" w:ascii="仿宋" w:hAnsi="仿宋" w:eastAsia="仿宋" w:cs="仿宋"/>
                <w:kern w:val="0"/>
                <w:sz w:val="28"/>
                <w:szCs w:val="2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28" w:hRule="atLeast"/>
          <w:jc w:val="center"/>
        </w:trPr>
        <w:tc>
          <w:tcPr>
            <w:tcW w:w="9216" w:type="dxa"/>
            <w:gridSpan w:val="2"/>
            <w:tcBorders>
              <w:top w:val="single" w:color="auto" w:sz="6" w:space="0"/>
              <w:left w:val="single" w:color="auto" w:sz="12" w:space="0"/>
              <w:bottom w:val="single" w:color="auto" w:sz="6" w:space="0"/>
              <w:right w:val="single" w:color="auto" w:sz="12" w:space="0"/>
            </w:tcBorders>
            <w:noWrap w:val="0"/>
            <w:vAlign w:val="center"/>
          </w:tcPr>
          <w:p>
            <w:pPr>
              <w:spacing w:line="360" w:lineRule="exact"/>
              <w:ind w:firstLine="600" w:firstLineChars="200"/>
              <w:rPr>
                <w:rFonts w:ascii="仿宋_GB2312" w:hAnsi="宋体" w:eastAsia="仿宋_GB2312" w:cs="宋体"/>
                <w:sz w:val="30"/>
                <w:szCs w:val="30"/>
              </w:rPr>
            </w:pPr>
          </w:p>
          <w:p>
            <w:pPr>
              <w:spacing w:line="36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专家组认定意见</w:t>
            </w:r>
            <w:r>
              <w:rPr>
                <w:rFonts w:hint="eastAsia" w:ascii="仿宋_GB2312" w:hAnsi="宋体" w:eastAsia="仿宋_GB2312" w:cs="宋体"/>
                <w:sz w:val="30"/>
                <w:szCs w:val="30"/>
                <w:lang w:eastAsia="zh-CN"/>
              </w:rPr>
              <w:t>：</w:t>
            </w:r>
            <w:r>
              <w:rPr>
                <w:rFonts w:hint="eastAsia" w:ascii="仿宋" w:hAnsi="仿宋" w:eastAsia="仿宋" w:cs="仿宋"/>
                <w:sz w:val="28"/>
                <w:szCs w:val="28"/>
              </w:rPr>
              <w:t>□1.</w:t>
            </w:r>
            <w:r>
              <w:rPr>
                <w:rFonts w:hint="eastAsia" w:ascii="仿宋_GB2312" w:hAnsi="宋体" w:eastAsia="仿宋_GB2312" w:cs="宋体"/>
                <w:sz w:val="30"/>
                <w:szCs w:val="30"/>
              </w:rPr>
              <w:t>同意；</w:t>
            </w:r>
            <w:r>
              <w:rPr>
                <w:rFonts w:hint="eastAsia" w:ascii="仿宋" w:hAnsi="仿宋" w:eastAsia="仿宋" w:cs="仿宋"/>
                <w:sz w:val="28"/>
                <w:szCs w:val="28"/>
              </w:rPr>
              <w:t>□2.不</w:t>
            </w:r>
            <w:r>
              <w:rPr>
                <w:rFonts w:hint="eastAsia" w:ascii="仿宋_GB2312" w:hAnsi="宋体" w:eastAsia="仿宋_GB2312" w:cs="宋体"/>
                <w:sz w:val="30"/>
                <w:szCs w:val="30"/>
              </w:rPr>
              <w:t xml:space="preserve">同意 </w:t>
            </w:r>
          </w:p>
          <w:p>
            <w:pPr>
              <w:spacing w:line="360" w:lineRule="exact"/>
              <w:rPr>
                <w:rFonts w:ascii="仿宋_GB2312" w:hAnsi="宋体" w:eastAsia="仿宋_GB2312" w:cs="宋体"/>
                <w:sz w:val="30"/>
                <w:szCs w:val="30"/>
              </w:rPr>
            </w:pPr>
          </w:p>
          <w:p>
            <w:pPr>
              <w:spacing w:line="360" w:lineRule="exact"/>
              <w:jc w:val="right"/>
              <w:rPr>
                <w:rFonts w:ascii="仿宋_GB2312" w:hAnsi="宋体" w:eastAsia="仿宋_GB2312" w:cs="宋体"/>
                <w:sz w:val="30"/>
                <w:szCs w:val="30"/>
              </w:rPr>
            </w:pPr>
            <w:r>
              <w:rPr>
                <w:rFonts w:hint="eastAsia" w:ascii="仿宋_GB2312" w:hAnsi="宋体" w:eastAsia="仿宋_GB2312" w:cs="宋体"/>
                <w:sz w:val="30"/>
                <w:szCs w:val="30"/>
              </w:rPr>
              <w:t>广东省职业健康检查质量控制中心（盖章）</w:t>
            </w:r>
          </w:p>
          <w:p>
            <w:pPr>
              <w:spacing w:line="360" w:lineRule="exact"/>
              <w:ind w:firstLine="7050" w:firstLineChars="2350"/>
              <w:jc w:val="left"/>
              <w:rPr>
                <w:rFonts w:ascii="仿宋" w:hAnsi="仿宋" w:eastAsia="仿宋" w:cs="仿宋"/>
                <w:sz w:val="28"/>
                <w:szCs w:val="28"/>
              </w:rPr>
            </w:pPr>
            <w:r>
              <w:rPr>
                <w:rFonts w:hint="eastAsia" w:ascii="仿宋_GB2312" w:hAnsi="宋体" w:eastAsia="仿宋_GB2312" w:cs="宋体"/>
                <w:sz w:val="30"/>
                <w:szCs w:val="30"/>
              </w:rPr>
              <w:t>年</w:t>
            </w:r>
            <w:r>
              <w:rPr>
                <w:rFonts w:ascii="仿宋_GB2312" w:hAnsi="宋体" w:eastAsia="仿宋_GB2312" w:cs="宋体"/>
                <w:sz w:val="30"/>
                <w:szCs w:val="30"/>
              </w:rPr>
              <w:t xml:space="preserve">   </w:t>
            </w:r>
            <w:r>
              <w:rPr>
                <w:rFonts w:hint="eastAsia" w:ascii="仿宋_GB2312" w:hAnsi="宋体" w:eastAsia="仿宋_GB2312" w:cs="宋体"/>
                <w:sz w:val="30"/>
                <w:szCs w:val="30"/>
              </w:rPr>
              <w:t>月</w:t>
            </w:r>
            <w:r>
              <w:rPr>
                <w:rFonts w:ascii="仿宋_GB2312" w:hAnsi="宋体" w:eastAsia="仿宋_GB2312" w:cs="宋体"/>
                <w:sz w:val="30"/>
                <w:szCs w:val="30"/>
              </w:rPr>
              <w:t xml:space="preserve">   </w:t>
            </w:r>
            <w:r>
              <w:rPr>
                <w:rFonts w:hint="eastAsia" w:ascii="仿宋_GB2312" w:hAnsi="宋体" w:eastAsia="仿宋_GB2312" w:cs="宋体"/>
                <w:sz w:val="30"/>
                <w:szCs w:val="30"/>
              </w:rPr>
              <w:t>日</w:t>
            </w:r>
          </w:p>
        </w:tc>
      </w:tr>
    </w:tbl>
    <w:p>
      <w:pPr>
        <w:rPr>
          <w:rFonts w:hint="eastAsia" w:ascii="黑体" w:hAnsi="黑体" w:eastAsia="黑体" w:cs="黑体"/>
          <w:sz w:val="32"/>
          <w:szCs w:val="32"/>
        </w:rPr>
      </w:pPr>
    </w:p>
    <w:sectPr>
      <w:headerReference r:id="rId3" w:type="default"/>
      <w:footerReference r:id="rId4" w:type="default"/>
      <w:pgSz w:w="11906" w:h="16838"/>
      <w:pgMar w:top="2098" w:right="1417" w:bottom="153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17</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64B0"/>
    <w:rsid w:val="000B3ACD"/>
    <w:rsid w:val="000D1690"/>
    <w:rsid w:val="001B67C7"/>
    <w:rsid w:val="00210561"/>
    <w:rsid w:val="00242D49"/>
    <w:rsid w:val="002A594A"/>
    <w:rsid w:val="00325E1C"/>
    <w:rsid w:val="00407B8A"/>
    <w:rsid w:val="00464AE7"/>
    <w:rsid w:val="00634365"/>
    <w:rsid w:val="008541EB"/>
    <w:rsid w:val="008B12DD"/>
    <w:rsid w:val="008C6CAE"/>
    <w:rsid w:val="008E1147"/>
    <w:rsid w:val="00996AD0"/>
    <w:rsid w:val="009F064A"/>
    <w:rsid w:val="00B31D44"/>
    <w:rsid w:val="00B76326"/>
    <w:rsid w:val="00C264E2"/>
    <w:rsid w:val="00C92110"/>
    <w:rsid w:val="00CB59FF"/>
    <w:rsid w:val="00CF0612"/>
    <w:rsid w:val="00DB4990"/>
    <w:rsid w:val="00E07DC7"/>
    <w:rsid w:val="00EA004B"/>
    <w:rsid w:val="00EE6FB4"/>
    <w:rsid w:val="00EF786B"/>
    <w:rsid w:val="00FB2CE2"/>
    <w:rsid w:val="01336C2D"/>
    <w:rsid w:val="01394912"/>
    <w:rsid w:val="014467E0"/>
    <w:rsid w:val="014E4302"/>
    <w:rsid w:val="016331E0"/>
    <w:rsid w:val="019A3ADB"/>
    <w:rsid w:val="01A147B1"/>
    <w:rsid w:val="01CF0A8C"/>
    <w:rsid w:val="01DE1938"/>
    <w:rsid w:val="0205525F"/>
    <w:rsid w:val="020A53C8"/>
    <w:rsid w:val="022C76B7"/>
    <w:rsid w:val="028C2CD1"/>
    <w:rsid w:val="02A7767C"/>
    <w:rsid w:val="02B45988"/>
    <w:rsid w:val="02C53FC9"/>
    <w:rsid w:val="02DC1803"/>
    <w:rsid w:val="02FB63A0"/>
    <w:rsid w:val="030B2A88"/>
    <w:rsid w:val="034561CF"/>
    <w:rsid w:val="039356E2"/>
    <w:rsid w:val="03AA6D75"/>
    <w:rsid w:val="03D11ACF"/>
    <w:rsid w:val="03ED5EC1"/>
    <w:rsid w:val="03F32EB5"/>
    <w:rsid w:val="03F3564E"/>
    <w:rsid w:val="04034355"/>
    <w:rsid w:val="040D5AFF"/>
    <w:rsid w:val="044F7C28"/>
    <w:rsid w:val="04540F91"/>
    <w:rsid w:val="045929D1"/>
    <w:rsid w:val="045D537E"/>
    <w:rsid w:val="04606804"/>
    <w:rsid w:val="04B54D03"/>
    <w:rsid w:val="04DC671B"/>
    <w:rsid w:val="04F54654"/>
    <w:rsid w:val="04F5740E"/>
    <w:rsid w:val="04FA3089"/>
    <w:rsid w:val="05176384"/>
    <w:rsid w:val="05354389"/>
    <w:rsid w:val="05393DC4"/>
    <w:rsid w:val="053A2184"/>
    <w:rsid w:val="054C0F6C"/>
    <w:rsid w:val="056856E9"/>
    <w:rsid w:val="057B3B6E"/>
    <w:rsid w:val="05B82EE4"/>
    <w:rsid w:val="05D24C82"/>
    <w:rsid w:val="05FF03E5"/>
    <w:rsid w:val="0605065E"/>
    <w:rsid w:val="061B17CD"/>
    <w:rsid w:val="061D1417"/>
    <w:rsid w:val="06402C69"/>
    <w:rsid w:val="064940F4"/>
    <w:rsid w:val="06BE5F4D"/>
    <w:rsid w:val="06D8292B"/>
    <w:rsid w:val="06F764FB"/>
    <w:rsid w:val="06FF650D"/>
    <w:rsid w:val="073E564C"/>
    <w:rsid w:val="0750362D"/>
    <w:rsid w:val="0775176A"/>
    <w:rsid w:val="07C408F5"/>
    <w:rsid w:val="07E2317B"/>
    <w:rsid w:val="07F20775"/>
    <w:rsid w:val="07F5247F"/>
    <w:rsid w:val="08414B3F"/>
    <w:rsid w:val="0894034C"/>
    <w:rsid w:val="08A35762"/>
    <w:rsid w:val="08AC064C"/>
    <w:rsid w:val="08C06595"/>
    <w:rsid w:val="08E03504"/>
    <w:rsid w:val="08F96FFF"/>
    <w:rsid w:val="092923F3"/>
    <w:rsid w:val="09445CA8"/>
    <w:rsid w:val="095E22E0"/>
    <w:rsid w:val="096E4CF2"/>
    <w:rsid w:val="097402FA"/>
    <w:rsid w:val="098B3CB5"/>
    <w:rsid w:val="099D47C0"/>
    <w:rsid w:val="09A72C1E"/>
    <w:rsid w:val="0A243CEF"/>
    <w:rsid w:val="0A307A4E"/>
    <w:rsid w:val="0A3E08D3"/>
    <w:rsid w:val="0A797558"/>
    <w:rsid w:val="0AA03FAC"/>
    <w:rsid w:val="0ABC4CDB"/>
    <w:rsid w:val="0AD46F41"/>
    <w:rsid w:val="0AF37309"/>
    <w:rsid w:val="0B0702A1"/>
    <w:rsid w:val="0B1F3F28"/>
    <w:rsid w:val="0B4D0949"/>
    <w:rsid w:val="0B5C1990"/>
    <w:rsid w:val="0B964104"/>
    <w:rsid w:val="0BAF2F02"/>
    <w:rsid w:val="0BD82C9A"/>
    <w:rsid w:val="0BDA0E44"/>
    <w:rsid w:val="0C031BA3"/>
    <w:rsid w:val="0C0F61D1"/>
    <w:rsid w:val="0C294F60"/>
    <w:rsid w:val="0C4F2E20"/>
    <w:rsid w:val="0C4F4BF4"/>
    <w:rsid w:val="0C7C1F64"/>
    <w:rsid w:val="0CAC219F"/>
    <w:rsid w:val="0CBC36DE"/>
    <w:rsid w:val="0D071CA5"/>
    <w:rsid w:val="0D394B10"/>
    <w:rsid w:val="0D9D2EC4"/>
    <w:rsid w:val="0DBC79F4"/>
    <w:rsid w:val="0DF358CF"/>
    <w:rsid w:val="0E4501F4"/>
    <w:rsid w:val="0E707E7E"/>
    <w:rsid w:val="0EEA6262"/>
    <w:rsid w:val="0EF73755"/>
    <w:rsid w:val="0EFD5D6F"/>
    <w:rsid w:val="0F04268F"/>
    <w:rsid w:val="0F2C5AB4"/>
    <w:rsid w:val="0F351495"/>
    <w:rsid w:val="0FBA787C"/>
    <w:rsid w:val="0FCE7DAA"/>
    <w:rsid w:val="10033718"/>
    <w:rsid w:val="1021527E"/>
    <w:rsid w:val="109E57C4"/>
    <w:rsid w:val="10A75CE9"/>
    <w:rsid w:val="10B90776"/>
    <w:rsid w:val="10BF2E5A"/>
    <w:rsid w:val="11230900"/>
    <w:rsid w:val="114C7F70"/>
    <w:rsid w:val="11632DE5"/>
    <w:rsid w:val="11647227"/>
    <w:rsid w:val="118D5C62"/>
    <w:rsid w:val="118E699F"/>
    <w:rsid w:val="11B623B7"/>
    <w:rsid w:val="11C10904"/>
    <w:rsid w:val="11E262D8"/>
    <w:rsid w:val="11F93503"/>
    <w:rsid w:val="120C4D6D"/>
    <w:rsid w:val="12135BD2"/>
    <w:rsid w:val="1222769C"/>
    <w:rsid w:val="122C0864"/>
    <w:rsid w:val="124E64F6"/>
    <w:rsid w:val="12711A89"/>
    <w:rsid w:val="12B53CF1"/>
    <w:rsid w:val="12C55850"/>
    <w:rsid w:val="12E32201"/>
    <w:rsid w:val="12F97D72"/>
    <w:rsid w:val="130B3AD7"/>
    <w:rsid w:val="13106D24"/>
    <w:rsid w:val="132136E8"/>
    <w:rsid w:val="133F594F"/>
    <w:rsid w:val="13782051"/>
    <w:rsid w:val="13AD7BC8"/>
    <w:rsid w:val="13EB311E"/>
    <w:rsid w:val="13F4439A"/>
    <w:rsid w:val="1405198D"/>
    <w:rsid w:val="14090677"/>
    <w:rsid w:val="140C4933"/>
    <w:rsid w:val="141E7CE8"/>
    <w:rsid w:val="144046DC"/>
    <w:rsid w:val="14604DD1"/>
    <w:rsid w:val="14B33988"/>
    <w:rsid w:val="14DE555D"/>
    <w:rsid w:val="15237575"/>
    <w:rsid w:val="15821476"/>
    <w:rsid w:val="158908EE"/>
    <w:rsid w:val="15E05462"/>
    <w:rsid w:val="15E67BB1"/>
    <w:rsid w:val="16096919"/>
    <w:rsid w:val="160B0E79"/>
    <w:rsid w:val="16607FCE"/>
    <w:rsid w:val="167C39EA"/>
    <w:rsid w:val="16A13050"/>
    <w:rsid w:val="16A51DDB"/>
    <w:rsid w:val="16AD68C4"/>
    <w:rsid w:val="16CD3AD6"/>
    <w:rsid w:val="16FD049D"/>
    <w:rsid w:val="17085A55"/>
    <w:rsid w:val="177D5445"/>
    <w:rsid w:val="178643D6"/>
    <w:rsid w:val="17BA46CA"/>
    <w:rsid w:val="17E561DD"/>
    <w:rsid w:val="180813A2"/>
    <w:rsid w:val="18301443"/>
    <w:rsid w:val="18381ADC"/>
    <w:rsid w:val="184F267C"/>
    <w:rsid w:val="1871281D"/>
    <w:rsid w:val="189A36F1"/>
    <w:rsid w:val="18C70BDD"/>
    <w:rsid w:val="18D7563A"/>
    <w:rsid w:val="18E2766C"/>
    <w:rsid w:val="18E70FE3"/>
    <w:rsid w:val="18F93F46"/>
    <w:rsid w:val="19927338"/>
    <w:rsid w:val="19B51B16"/>
    <w:rsid w:val="19B97C87"/>
    <w:rsid w:val="19C14F31"/>
    <w:rsid w:val="19C4537E"/>
    <w:rsid w:val="19D41223"/>
    <w:rsid w:val="19E078B2"/>
    <w:rsid w:val="19EA2D11"/>
    <w:rsid w:val="19F4733C"/>
    <w:rsid w:val="1A0D2A8E"/>
    <w:rsid w:val="1A1E58B7"/>
    <w:rsid w:val="1A2E57F6"/>
    <w:rsid w:val="1A6923F6"/>
    <w:rsid w:val="1A814F4D"/>
    <w:rsid w:val="1A8626BA"/>
    <w:rsid w:val="1AAC4147"/>
    <w:rsid w:val="1AB94638"/>
    <w:rsid w:val="1AC2576D"/>
    <w:rsid w:val="1AF54B4E"/>
    <w:rsid w:val="1B254870"/>
    <w:rsid w:val="1B29580C"/>
    <w:rsid w:val="1B316C9E"/>
    <w:rsid w:val="1B3E60B3"/>
    <w:rsid w:val="1B4A79FC"/>
    <w:rsid w:val="1B8738E3"/>
    <w:rsid w:val="1BC06657"/>
    <w:rsid w:val="1BC3225B"/>
    <w:rsid w:val="1BC53B78"/>
    <w:rsid w:val="1C054C81"/>
    <w:rsid w:val="1C336038"/>
    <w:rsid w:val="1C703616"/>
    <w:rsid w:val="1C9E0C66"/>
    <w:rsid w:val="1CA2502C"/>
    <w:rsid w:val="1CAC3793"/>
    <w:rsid w:val="1CCB353B"/>
    <w:rsid w:val="1CD86704"/>
    <w:rsid w:val="1D0A12AB"/>
    <w:rsid w:val="1D3E1967"/>
    <w:rsid w:val="1D4061FF"/>
    <w:rsid w:val="1D5F78E3"/>
    <w:rsid w:val="1D6E67A1"/>
    <w:rsid w:val="1D7568DA"/>
    <w:rsid w:val="1D8D3F56"/>
    <w:rsid w:val="1D9912E1"/>
    <w:rsid w:val="1DC001BD"/>
    <w:rsid w:val="1DD74892"/>
    <w:rsid w:val="1E2656DF"/>
    <w:rsid w:val="1E4618A6"/>
    <w:rsid w:val="1E6869FA"/>
    <w:rsid w:val="1E735047"/>
    <w:rsid w:val="1E8260F7"/>
    <w:rsid w:val="1E875571"/>
    <w:rsid w:val="1E8C7278"/>
    <w:rsid w:val="1EA54211"/>
    <w:rsid w:val="1EAC17EB"/>
    <w:rsid w:val="1F5B0185"/>
    <w:rsid w:val="1FC97AEF"/>
    <w:rsid w:val="1FDC7CA4"/>
    <w:rsid w:val="1FEE26AC"/>
    <w:rsid w:val="200E7F29"/>
    <w:rsid w:val="201858F3"/>
    <w:rsid w:val="202732A5"/>
    <w:rsid w:val="203C5C96"/>
    <w:rsid w:val="20610DED"/>
    <w:rsid w:val="20D40373"/>
    <w:rsid w:val="21173115"/>
    <w:rsid w:val="21214EA0"/>
    <w:rsid w:val="217D7711"/>
    <w:rsid w:val="21960339"/>
    <w:rsid w:val="2261500A"/>
    <w:rsid w:val="2277713C"/>
    <w:rsid w:val="227C3F54"/>
    <w:rsid w:val="22816116"/>
    <w:rsid w:val="22916378"/>
    <w:rsid w:val="22B92CC9"/>
    <w:rsid w:val="22ED6AD3"/>
    <w:rsid w:val="22F50A86"/>
    <w:rsid w:val="23040532"/>
    <w:rsid w:val="232A7183"/>
    <w:rsid w:val="23612948"/>
    <w:rsid w:val="239A24FA"/>
    <w:rsid w:val="239A58B7"/>
    <w:rsid w:val="23B02A0F"/>
    <w:rsid w:val="23C21365"/>
    <w:rsid w:val="23C62171"/>
    <w:rsid w:val="23D51EC8"/>
    <w:rsid w:val="24360CC7"/>
    <w:rsid w:val="244D6A2F"/>
    <w:rsid w:val="245B5660"/>
    <w:rsid w:val="24925392"/>
    <w:rsid w:val="24940000"/>
    <w:rsid w:val="24B7514C"/>
    <w:rsid w:val="24CD0E5C"/>
    <w:rsid w:val="24D57A4E"/>
    <w:rsid w:val="24F61079"/>
    <w:rsid w:val="250A3253"/>
    <w:rsid w:val="25522141"/>
    <w:rsid w:val="255F2B93"/>
    <w:rsid w:val="25AE0A34"/>
    <w:rsid w:val="25B776B6"/>
    <w:rsid w:val="25BE5B4C"/>
    <w:rsid w:val="25BF06F7"/>
    <w:rsid w:val="25CC07CF"/>
    <w:rsid w:val="261C7031"/>
    <w:rsid w:val="2634424C"/>
    <w:rsid w:val="263B1532"/>
    <w:rsid w:val="269A230B"/>
    <w:rsid w:val="26AB75FA"/>
    <w:rsid w:val="26C4346F"/>
    <w:rsid w:val="26DF0C61"/>
    <w:rsid w:val="26E71F97"/>
    <w:rsid w:val="26E93A52"/>
    <w:rsid w:val="26EB6E20"/>
    <w:rsid w:val="26ED0595"/>
    <w:rsid w:val="273B5169"/>
    <w:rsid w:val="274275F5"/>
    <w:rsid w:val="27491F8C"/>
    <w:rsid w:val="2750020E"/>
    <w:rsid w:val="275D06AE"/>
    <w:rsid w:val="278F3353"/>
    <w:rsid w:val="28001680"/>
    <w:rsid w:val="283132BB"/>
    <w:rsid w:val="28667A6C"/>
    <w:rsid w:val="287A1082"/>
    <w:rsid w:val="28814016"/>
    <w:rsid w:val="288E2C59"/>
    <w:rsid w:val="28C6272A"/>
    <w:rsid w:val="28F50551"/>
    <w:rsid w:val="29B826AE"/>
    <w:rsid w:val="29B9663F"/>
    <w:rsid w:val="29BF682D"/>
    <w:rsid w:val="29C22D99"/>
    <w:rsid w:val="29C537D6"/>
    <w:rsid w:val="29CA189D"/>
    <w:rsid w:val="29CC7952"/>
    <w:rsid w:val="29CD04A7"/>
    <w:rsid w:val="2A126E91"/>
    <w:rsid w:val="2A233BA1"/>
    <w:rsid w:val="2A443B31"/>
    <w:rsid w:val="2AB74EF7"/>
    <w:rsid w:val="2AE512D0"/>
    <w:rsid w:val="2AE848F4"/>
    <w:rsid w:val="2AF3686E"/>
    <w:rsid w:val="2B197E46"/>
    <w:rsid w:val="2B3A08F1"/>
    <w:rsid w:val="2B4E3532"/>
    <w:rsid w:val="2BAF6AA8"/>
    <w:rsid w:val="2BC068E8"/>
    <w:rsid w:val="2C2A05D4"/>
    <w:rsid w:val="2C553D99"/>
    <w:rsid w:val="2C8A1EEC"/>
    <w:rsid w:val="2CAB7AB7"/>
    <w:rsid w:val="2CE2752F"/>
    <w:rsid w:val="2CF10F91"/>
    <w:rsid w:val="2D141854"/>
    <w:rsid w:val="2D7878B6"/>
    <w:rsid w:val="2D82678C"/>
    <w:rsid w:val="2DDD65D5"/>
    <w:rsid w:val="2DE0551B"/>
    <w:rsid w:val="2DEF21B6"/>
    <w:rsid w:val="2E0A7FAD"/>
    <w:rsid w:val="2E234127"/>
    <w:rsid w:val="2E2A4DA7"/>
    <w:rsid w:val="2E394798"/>
    <w:rsid w:val="2E6070F7"/>
    <w:rsid w:val="2E627EB1"/>
    <w:rsid w:val="2E6C651F"/>
    <w:rsid w:val="2E7F255F"/>
    <w:rsid w:val="2E816A54"/>
    <w:rsid w:val="2F2A2E71"/>
    <w:rsid w:val="2F587C84"/>
    <w:rsid w:val="2F5A7ACC"/>
    <w:rsid w:val="2F610FB9"/>
    <w:rsid w:val="2FC67522"/>
    <w:rsid w:val="2FF76F08"/>
    <w:rsid w:val="2FF80C9D"/>
    <w:rsid w:val="300B0C29"/>
    <w:rsid w:val="302317C2"/>
    <w:rsid w:val="308F5EB2"/>
    <w:rsid w:val="30C80276"/>
    <w:rsid w:val="30CE4C3A"/>
    <w:rsid w:val="310800C8"/>
    <w:rsid w:val="31185642"/>
    <w:rsid w:val="311C1D6C"/>
    <w:rsid w:val="31613F87"/>
    <w:rsid w:val="31764C95"/>
    <w:rsid w:val="31817DF2"/>
    <w:rsid w:val="318B45EC"/>
    <w:rsid w:val="31AD438F"/>
    <w:rsid w:val="31B76A8C"/>
    <w:rsid w:val="31BE5DC8"/>
    <w:rsid w:val="320E4021"/>
    <w:rsid w:val="32254E99"/>
    <w:rsid w:val="32343A5C"/>
    <w:rsid w:val="3288417B"/>
    <w:rsid w:val="32962C48"/>
    <w:rsid w:val="32A61781"/>
    <w:rsid w:val="32D35489"/>
    <w:rsid w:val="33095A8A"/>
    <w:rsid w:val="33424F70"/>
    <w:rsid w:val="33425510"/>
    <w:rsid w:val="335851A0"/>
    <w:rsid w:val="335F5E39"/>
    <w:rsid w:val="33DF2BD1"/>
    <w:rsid w:val="340615B6"/>
    <w:rsid w:val="342635AA"/>
    <w:rsid w:val="34362004"/>
    <w:rsid w:val="3452036F"/>
    <w:rsid w:val="34705F22"/>
    <w:rsid w:val="34762A94"/>
    <w:rsid w:val="34A241AD"/>
    <w:rsid w:val="34AF3FE8"/>
    <w:rsid w:val="34C30C84"/>
    <w:rsid w:val="34C7358F"/>
    <w:rsid w:val="35026008"/>
    <w:rsid w:val="351B77BF"/>
    <w:rsid w:val="3533566F"/>
    <w:rsid w:val="35394E83"/>
    <w:rsid w:val="355A6BB3"/>
    <w:rsid w:val="35730676"/>
    <w:rsid w:val="358543E0"/>
    <w:rsid w:val="35CB45FC"/>
    <w:rsid w:val="35CD26A7"/>
    <w:rsid w:val="35E02047"/>
    <w:rsid w:val="35F65B3A"/>
    <w:rsid w:val="36081FB4"/>
    <w:rsid w:val="363A2509"/>
    <w:rsid w:val="36567B1C"/>
    <w:rsid w:val="36590828"/>
    <w:rsid w:val="36600BFD"/>
    <w:rsid w:val="36747021"/>
    <w:rsid w:val="36A34F2A"/>
    <w:rsid w:val="36AE34A0"/>
    <w:rsid w:val="374C2E5D"/>
    <w:rsid w:val="3767565B"/>
    <w:rsid w:val="37955BF4"/>
    <w:rsid w:val="37A10E17"/>
    <w:rsid w:val="37AD3BCA"/>
    <w:rsid w:val="37F379EB"/>
    <w:rsid w:val="38016875"/>
    <w:rsid w:val="38B4010C"/>
    <w:rsid w:val="38DE3497"/>
    <w:rsid w:val="38E8385A"/>
    <w:rsid w:val="39111CB8"/>
    <w:rsid w:val="392123AA"/>
    <w:rsid w:val="393A19E9"/>
    <w:rsid w:val="3962547F"/>
    <w:rsid w:val="3965216D"/>
    <w:rsid w:val="39737B8B"/>
    <w:rsid w:val="398946D8"/>
    <w:rsid w:val="399E0928"/>
    <w:rsid w:val="39A45F56"/>
    <w:rsid w:val="39EC52AE"/>
    <w:rsid w:val="39EE7CBF"/>
    <w:rsid w:val="3A09449F"/>
    <w:rsid w:val="3A5468F8"/>
    <w:rsid w:val="3A5B51C0"/>
    <w:rsid w:val="3A7535B3"/>
    <w:rsid w:val="3ABC588E"/>
    <w:rsid w:val="3B253649"/>
    <w:rsid w:val="3B643615"/>
    <w:rsid w:val="3B960300"/>
    <w:rsid w:val="3BC7211E"/>
    <w:rsid w:val="3BF4572F"/>
    <w:rsid w:val="3C070C97"/>
    <w:rsid w:val="3C6F742B"/>
    <w:rsid w:val="3CAB0EAB"/>
    <w:rsid w:val="3CE37D32"/>
    <w:rsid w:val="3D0163EA"/>
    <w:rsid w:val="3D250D91"/>
    <w:rsid w:val="3D724345"/>
    <w:rsid w:val="3D86783B"/>
    <w:rsid w:val="3DAB587B"/>
    <w:rsid w:val="3DB60E65"/>
    <w:rsid w:val="3DDD0E46"/>
    <w:rsid w:val="3E3E68BC"/>
    <w:rsid w:val="3EA51AB2"/>
    <w:rsid w:val="3EB87FAE"/>
    <w:rsid w:val="3EE47020"/>
    <w:rsid w:val="3EE93972"/>
    <w:rsid w:val="3F0448F5"/>
    <w:rsid w:val="3F2534A1"/>
    <w:rsid w:val="3F2B39B3"/>
    <w:rsid w:val="3F5551C6"/>
    <w:rsid w:val="3F5A19E6"/>
    <w:rsid w:val="3FF13323"/>
    <w:rsid w:val="3FFA0770"/>
    <w:rsid w:val="3FFF31D4"/>
    <w:rsid w:val="40371D6E"/>
    <w:rsid w:val="403C4502"/>
    <w:rsid w:val="406662DA"/>
    <w:rsid w:val="408253A4"/>
    <w:rsid w:val="40AA0C77"/>
    <w:rsid w:val="40D64775"/>
    <w:rsid w:val="40D81FD8"/>
    <w:rsid w:val="40EE7146"/>
    <w:rsid w:val="40FF3EA0"/>
    <w:rsid w:val="41073444"/>
    <w:rsid w:val="41196C2E"/>
    <w:rsid w:val="411B0EED"/>
    <w:rsid w:val="4124640A"/>
    <w:rsid w:val="412A516A"/>
    <w:rsid w:val="413655FE"/>
    <w:rsid w:val="41524C95"/>
    <w:rsid w:val="415A6620"/>
    <w:rsid w:val="416F4C96"/>
    <w:rsid w:val="41783670"/>
    <w:rsid w:val="41826C68"/>
    <w:rsid w:val="41A7690A"/>
    <w:rsid w:val="41E41484"/>
    <w:rsid w:val="42562BB7"/>
    <w:rsid w:val="42646927"/>
    <w:rsid w:val="42CD39D9"/>
    <w:rsid w:val="42D7794C"/>
    <w:rsid w:val="42DF3EEB"/>
    <w:rsid w:val="42F15A95"/>
    <w:rsid w:val="43047847"/>
    <w:rsid w:val="432D615D"/>
    <w:rsid w:val="43374328"/>
    <w:rsid w:val="433A2E40"/>
    <w:rsid w:val="43485862"/>
    <w:rsid w:val="438468DB"/>
    <w:rsid w:val="43922AF0"/>
    <w:rsid w:val="43D74721"/>
    <w:rsid w:val="43E83DF4"/>
    <w:rsid w:val="44071E0E"/>
    <w:rsid w:val="440C0D1A"/>
    <w:rsid w:val="44113C33"/>
    <w:rsid w:val="442002C8"/>
    <w:rsid w:val="442F2302"/>
    <w:rsid w:val="443F1CEF"/>
    <w:rsid w:val="446F2094"/>
    <w:rsid w:val="447C7C0A"/>
    <w:rsid w:val="447D4242"/>
    <w:rsid w:val="448D15E1"/>
    <w:rsid w:val="44B91E87"/>
    <w:rsid w:val="450713EE"/>
    <w:rsid w:val="45374BC9"/>
    <w:rsid w:val="45471A3A"/>
    <w:rsid w:val="455D39D2"/>
    <w:rsid w:val="45E11230"/>
    <w:rsid w:val="461E1284"/>
    <w:rsid w:val="464A275D"/>
    <w:rsid w:val="46703127"/>
    <w:rsid w:val="4685382A"/>
    <w:rsid w:val="46963DD8"/>
    <w:rsid w:val="46F14525"/>
    <w:rsid w:val="47005417"/>
    <w:rsid w:val="470873F5"/>
    <w:rsid w:val="4727356B"/>
    <w:rsid w:val="474B308A"/>
    <w:rsid w:val="479649C9"/>
    <w:rsid w:val="47C65D66"/>
    <w:rsid w:val="485F527F"/>
    <w:rsid w:val="48691255"/>
    <w:rsid w:val="48891264"/>
    <w:rsid w:val="48983AAC"/>
    <w:rsid w:val="48A86A3E"/>
    <w:rsid w:val="48BE3EFD"/>
    <w:rsid w:val="49114067"/>
    <w:rsid w:val="496B493B"/>
    <w:rsid w:val="498D36DA"/>
    <w:rsid w:val="49954E32"/>
    <w:rsid w:val="499704A6"/>
    <w:rsid w:val="4A9A766E"/>
    <w:rsid w:val="4ABA6D83"/>
    <w:rsid w:val="4AC960ED"/>
    <w:rsid w:val="4B446C00"/>
    <w:rsid w:val="4B595AF6"/>
    <w:rsid w:val="4B7063F5"/>
    <w:rsid w:val="4B73266F"/>
    <w:rsid w:val="4B8B1403"/>
    <w:rsid w:val="4BD066D5"/>
    <w:rsid w:val="4BF63ADF"/>
    <w:rsid w:val="4C070518"/>
    <w:rsid w:val="4C3A2C02"/>
    <w:rsid w:val="4C523CB8"/>
    <w:rsid w:val="4C8D1855"/>
    <w:rsid w:val="4C93567E"/>
    <w:rsid w:val="4CB47C15"/>
    <w:rsid w:val="4CFC31BC"/>
    <w:rsid w:val="4DAB3977"/>
    <w:rsid w:val="4DD97F9E"/>
    <w:rsid w:val="4E4915EC"/>
    <w:rsid w:val="4E5F5C60"/>
    <w:rsid w:val="4E9D5B15"/>
    <w:rsid w:val="4EAD49FC"/>
    <w:rsid w:val="4EC14F87"/>
    <w:rsid w:val="4EFC1C30"/>
    <w:rsid w:val="4F07664D"/>
    <w:rsid w:val="4F33523B"/>
    <w:rsid w:val="4F40395E"/>
    <w:rsid w:val="4F404180"/>
    <w:rsid w:val="4F66412D"/>
    <w:rsid w:val="4F7B6D23"/>
    <w:rsid w:val="4F8263F8"/>
    <w:rsid w:val="4FA353B6"/>
    <w:rsid w:val="4FE6123E"/>
    <w:rsid w:val="4FEC6C83"/>
    <w:rsid w:val="4FF61AD5"/>
    <w:rsid w:val="500A671B"/>
    <w:rsid w:val="50374635"/>
    <w:rsid w:val="503B3F6B"/>
    <w:rsid w:val="505264E0"/>
    <w:rsid w:val="50686AF9"/>
    <w:rsid w:val="507E7C8A"/>
    <w:rsid w:val="509809C6"/>
    <w:rsid w:val="50AF2829"/>
    <w:rsid w:val="50B9135A"/>
    <w:rsid w:val="50C44405"/>
    <w:rsid w:val="50CF716C"/>
    <w:rsid w:val="50D906A0"/>
    <w:rsid w:val="50DA3720"/>
    <w:rsid w:val="50E9314F"/>
    <w:rsid w:val="50E95B07"/>
    <w:rsid w:val="51701147"/>
    <w:rsid w:val="51A944E0"/>
    <w:rsid w:val="51B4526F"/>
    <w:rsid w:val="51B670DE"/>
    <w:rsid w:val="51C9492E"/>
    <w:rsid w:val="51DB3461"/>
    <w:rsid w:val="52026C80"/>
    <w:rsid w:val="52130B2C"/>
    <w:rsid w:val="52271201"/>
    <w:rsid w:val="523E0B07"/>
    <w:rsid w:val="526917B9"/>
    <w:rsid w:val="528109C2"/>
    <w:rsid w:val="528C1849"/>
    <w:rsid w:val="528D748F"/>
    <w:rsid w:val="52FF6F8D"/>
    <w:rsid w:val="532E5ADF"/>
    <w:rsid w:val="5395279D"/>
    <w:rsid w:val="53AB06F2"/>
    <w:rsid w:val="53AC5BA2"/>
    <w:rsid w:val="53CA14BC"/>
    <w:rsid w:val="53E70E47"/>
    <w:rsid w:val="541850A7"/>
    <w:rsid w:val="5420644C"/>
    <w:rsid w:val="54280E8D"/>
    <w:rsid w:val="5437255C"/>
    <w:rsid w:val="54B968B4"/>
    <w:rsid w:val="55233E46"/>
    <w:rsid w:val="553B4ADD"/>
    <w:rsid w:val="55E123A5"/>
    <w:rsid w:val="562C2A03"/>
    <w:rsid w:val="56675B20"/>
    <w:rsid w:val="56884260"/>
    <w:rsid w:val="568972A1"/>
    <w:rsid w:val="5697362B"/>
    <w:rsid w:val="56A10C14"/>
    <w:rsid w:val="56E85EB5"/>
    <w:rsid w:val="5710595D"/>
    <w:rsid w:val="57544330"/>
    <w:rsid w:val="577D13AD"/>
    <w:rsid w:val="57BB30B2"/>
    <w:rsid w:val="57D24717"/>
    <w:rsid w:val="57F82C79"/>
    <w:rsid w:val="58101CA0"/>
    <w:rsid w:val="5831149E"/>
    <w:rsid w:val="58394E04"/>
    <w:rsid w:val="58697EAF"/>
    <w:rsid w:val="597B11E6"/>
    <w:rsid w:val="59964CDD"/>
    <w:rsid w:val="59A54260"/>
    <w:rsid w:val="59F94BA3"/>
    <w:rsid w:val="5A317356"/>
    <w:rsid w:val="5A715369"/>
    <w:rsid w:val="5AA6090D"/>
    <w:rsid w:val="5ABB4AC3"/>
    <w:rsid w:val="5B6900AD"/>
    <w:rsid w:val="5BA61909"/>
    <w:rsid w:val="5BB44876"/>
    <w:rsid w:val="5BC01BD2"/>
    <w:rsid w:val="5BCC1ABA"/>
    <w:rsid w:val="5C2837E3"/>
    <w:rsid w:val="5C290195"/>
    <w:rsid w:val="5C35657D"/>
    <w:rsid w:val="5C654B0B"/>
    <w:rsid w:val="5C8F10DE"/>
    <w:rsid w:val="5C934834"/>
    <w:rsid w:val="5CE041AC"/>
    <w:rsid w:val="5CE82972"/>
    <w:rsid w:val="5CEC092F"/>
    <w:rsid w:val="5CF47DFA"/>
    <w:rsid w:val="5D0609A5"/>
    <w:rsid w:val="5D0D60FA"/>
    <w:rsid w:val="5D14231F"/>
    <w:rsid w:val="5D1E36A2"/>
    <w:rsid w:val="5D38336B"/>
    <w:rsid w:val="5D474037"/>
    <w:rsid w:val="5D58244A"/>
    <w:rsid w:val="5D79519F"/>
    <w:rsid w:val="5D866CC6"/>
    <w:rsid w:val="5D927622"/>
    <w:rsid w:val="5DB72637"/>
    <w:rsid w:val="5DC777C6"/>
    <w:rsid w:val="5DC85B49"/>
    <w:rsid w:val="5E0E2D13"/>
    <w:rsid w:val="5E5D330D"/>
    <w:rsid w:val="5E7A035D"/>
    <w:rsid w:val="5E7C7BD2"/>
    <w:rsid w:val="5EA00E47"/>
    <w:rsid w:val="5EA070B3"/>
    <w:rsid w:val="5EB1114B"/>
    <w:rsid w:val="5EDC2721"/>
    <w:rsid w:val="5EEB4B21"/>
    <w:rsid w:val="5F16665C"/>
    <w:rsid w:val="5F427569"/>
    <w:rsid w:val="5FB51836"/>
    <w:rsid w:val="5FD62133"/>
    <w:rsid w:val="5FEB03BB"/>
    <w:rsid w:val="60001ADA"/>
    <w:rsid w:val="601237BC"/>
    <w:rsid w:val="602415A7"/>
    <w:rsid w:val="602D38ED"/>
    <w:rsid w:val="60426F01"/>
    <w:rsid w:val="605875D7"/>
    <w:rsid w:val="605D698D"/>
    <w:rsid w:val="60647DA2"/>
    <w:rsid w:val="606821F6"/>
    <w:rsid w:val="606F06F8"/>
    <w:rsid w:val="6078186E"/>
    <w:rsid w:val="608535A1"/>
    <w:rsid w:val="609F5C0C"/>
    <w:rsid w:val="60C114DC"/>
    <w:rsid w:val="60E767C5"/>
    <w:rsid w:val="60F8774F"/>
    <w:rsid w:val="610C5418"/>
    <w:rsid w:val="611362F1"/>
    <w:rsid w:val="611942A9"/>
    <w:rsid w:val="611C47AE"/>
    <w:rsid w:val="615C0A30"/>
    <w:rsid w:val="61697114"/>
    <w:rsid w:val="61735FCB"/>
    <w:rsid w:val="6179357B"/>
    <w:rsid w:val="61AF7E7D"/>
    <w:rsid w:val="62012849"/>
    <w:rsid w:val="621756AF"/>
    <w:rsid w:val="621C0FBC"/>
    <w:rsid w:val="6239536A"/>
    <w:rsid w:val="623E46C6"/>
    <w:rsid w:val="62437FB8"/>
    <w:rsid w:val="624560C3"/>
    <w:rsid w:val="6252335F"/>
    <w:rsid w:val="626E4676"/>
    <w:rsid w:val="62723758"/>
    <w:rsid w:val="62907BC3"/>
    <w:rsid w:val="62A82ACD"/>
    <w:rsid w:val="62CF6C5B"/>
    <w:rsid w:val="62FD0594"/>
    <w:rsid w:val="6338394F"/>
    <w:rsid w:val="639A3E7F"/>
    <w:rsid w:val="63DB0BFF"/>
    <w:rsid w:val="63DC05B6"/>
    <w:rsid w:val="63E9778D"/>
    <w:rsid w:val="63EA5FA0"/>
    <w:rsid w:val="6477317F"/>
    <w:rsid w:val="64B87C16"/>
    <w:rsid w:val="64FC474D"/>
    <w:rsid w:val="65152742"/>
    <w:rsid w:val="65832177"/>
    <w:rsid w:val="65842FC1"/>
    <w:rsid w:val="65C42EE7"/>
    <w:rsid w:val="65E25A49"/>
    <w:rsid w:val="65EA3A4A"/>
    <w:rsid w:val="661B036C"/>
    <w:rsid w:val="665622E0"/>
    <w:rsid w:val="6657509E"/>
    <w:rsid w:val="665D630F"/>
    <w:rsid w:val="66837568"/>
    <w:rsid w:val="66C94246"/>
    <w:rsid w:val="671D5710"/>
    <w:rsid w:val="67237157"/>
    <w:rsid w:val="675D2458"/>
    <w:rsid w:val="677C3295"/>
    <w:rsid w:val="67806203"/>
    <w:rsid w:val="67F501AC"/>
    <w:rsid w:val="680A51A9"/>
    <w:rsid w:val="680B3179"/>
    <w:rsid w:val="682B13B5"/>
    <w:rsid w:val="683D4C74"/>
    <w:rsid w:val="68473E74"/>
    <w:rsid w:val="687C5409"/>
    <w:rsid w:val="689970D4"/>
    <w:rsid w:val="689C70A0"/>
    <w:rsid w:val="68DF6E6A"/>
    <w:rsid w:val="690A1693"/>
    <w:rsid w:val="691A46BD"/>
    <w:rsid w:val="693363B3"/>
    <w:rsid w:val="693704BE"/>
    <w:rsid w:val="69A905D7"/>
    <w:rsid w:val="69CC7687"/>
    <w:rsid w:val="69E66820"/>
    <w:rsid w:val="6A197BA7"/>
    <w:rsid w:val="6A26205D"/>
    <w:rsid w:val="6A6052DA"/>
    <w:rsid w:val="6A677D72"/>
    <w:rsid w:val="6A6D7CF1"/>
    <w:rsid w:val="6A825E57"/>
    <w:rsid w:val="6AA01040"/>
    <w:rsid w:val="6AAF2F69"/>
    <w:rsid w:val="6AB53634"/>
    <w:rsid w:val="6AD9107D"/>
    <w:rsid w:val="6ADC402C"/>
    <w:rsid w:val="6B211A7E"/>
    <w:rsid w:val="6B465F56"/>
    <w:rsid w:val="6B51497D"/>
    <w:rsid w:val="6B5F6332"/>
    <w:rsid w:val="6B8B618E"/>
    <w:rsid w:val="6BA9655B"/>
    <w:rsid w:val="6BC344DF"/>
    <w:rsid w:val="6BFD3D7B"/>
    <w:rsid w:val="6C27155F"/>
    <w:rsid w:val="6C336B79"/>
    <w:rsid w:val="6C3F35C3"/>
    <w:rsid w:val="6C42157D"/>
    <w:rsid w:val="6C590499"/>
    <w:rsid w:val="6C626936"/>
    <w:rsid w:val="6C765632"/>
    <w:rsid w:val="6CE435D0"/>
    <w:rsid w:val="6D261010"/>
    <w:rsid w:val="6D391C34"/>
    <w:rsid w:val="6D3C5E52"/>
    <w:rsid w:val="6D3E2DE7"/>
    <w:rsid w:val="6D6A727F"/>
    <w:rsid w:val="6DD412C9"/>
    <w:rsid w:val="6DD6087D"/>
    <w:rsid w:val="6DD94BB3"/>
    <w:rsid w:val="6E03261D"/>
    <w:rsid w:val="6E054506"/>
    <w:rsid w:val="6E0549CA"/>
    <w:rsid w:val="6E215F2B"/>
    <w:rsid w:val="6E2B04B2"/>
    <w:rsid w:val="6E354FC3"/>
    <w:rsid w:val="6E3F1EA7"/>
    <w:rsid w:val="6E88270B"/>
    <w:rsid w:val="6EAD79F9"/>
    <w:rsid w:val="6EBA03C1"/>
    <w:rsid w:val="6EFE7B63"/>
    <w:rsid w:val="6F185B9F"/>
    <w:rsid w:val="6F697844"/>
    <w:rsid w:val="6F6C5AD1"/>
    <w:rsid w:val="6F793FB2"/>
    <w:rsid w:val="6FB902D0"/>
    <w:rsid w:val="6FEA1E08"/>
    <w:rsid w:val="6FEF69E1"/>
    <w:rsid w:val="6FFA7E59"/>
    <w:rsid w:val="700D3907"/>
    <w:rsid w:val="7038763B"/>
    <w:rsid w:val="704E7804"/>
    <w:rsid w:val="70523953"/>
    <w:rsid w:val="706362BF"/>
    <w:rsid w:val="706722A3"/>
    <w:rsid w:val="70717461"/>
    <w:rsid w:val="70804660"/>
    <w:rsid w:val="709467CF"/>
    <w:rsid w:val="709E4C34"/>
    <w:rsid w:val="70A51BD2"/>
    <w:rsid w:val="70CA6514"/>
    <w:rsid w:val="712D1B5A"/>
    <w:rsid w:val="71334F63"/>
    <w:rsid w:val="714A1B41"/>
    <w:rsid w:val="71E41290"/>
    <w:rsid w:val="72126EA8"/>
    <w:rsid w:val="72197625"/>
    <w:rsid w:val="723828E8"/>
    <w:rsid w:val="7254546B"/>
    <w:rsid w:val="72CF5908"/>
    <w:rsid w:val="72D7642C"/>
    <w:rsid w:val="72F26CA8"/>
    <w:rsid w:val="72FE13C8"/>
    <w:rsid w:val="73012066"/>
    <w:rsid w:val="731B63EE"/>
    <w:rsid w:val="73B93487"/>
    <w:rsid w:val="73BC7153"/>
    <w:rsid w:val="741F10E2"/>
    <w:rsid w:val="74585808"/>
    <w:rsid w:val="745B1D40"/>
    <w:rsid w:val="747854FE"/>
    <w:rsid w:val="74842257"/>
    <w:rsid w:val="74A31000"/>
    <w:rsid w:val="74AD3CE8"/>
    <w:rsid w:val="750C54DC"/>
    <w:rsid w:val="750F6748"/>
    <w:rsid w:val="751D045C"/>
    <w:rsid w:val="75615E9E"/>
    <w:rsid w:val="75690BC2"/>
    <w:rsid w:val="75764D2B"/>
    <w:rsid w:val="75921AB1"/>
    <w:rsid w:val="75C72A6D"/>
    <w:rsid w:val="760373CE"/>
    <w:rsid w:val="765A3A14"/>
    <w:rsid w:val="765F7065"/>
    <w:rsid w:val="76D376AE"/>
    <w:rsid w:val="76E93D2F"/>
    <w:rsid w:val="7714744A"/>
    <w:rsid w:val="779C78CE"/>
    <w:rsid w:val="77A26D48"/>
    <w:rsid w:val="77B9616E"/>
    <w:rsid w:val="77BA350D"/>
    <w:rsid w:val="77D259A8"/>
    <w:rsid w:val="77D2753A"/>
    <w:rsid w:val="77ED794B"/>
    <w:rsid w:val="78464988"/>
    <w:rsid w:val="785256B7"/>
    <w:rsid w:val="786E2876"/>
    <w:rsid w:val="786E7162"/>
    <w:rsid w:val="78A35443"/>
    <w:rsid w:val="78B03F88"/>
    <w:rsid w:val="78E404C8"/>
    <w:rsid w:val="78FA6483"/>
    <w:rsid w:val="79027216"/>
    <w:rsid w:val="790E089D"/>
    <w:rsid w:val="79272D11"/>
    <w:rsid w:val="793A099E"/>
    <w:rsid w:val="7940199E"/>
    <w:rsid w:val="796C33E9"/>
    <w:rsid w:val="79987F17"/>
    <w:rsid w:val="79B230EF"/>
    <w:rsid w:val="79EF767A"/>
    <w:rsid w:val="7A1E6C9B"/>
    <w:rsid w:val="7A2E119E"/>
    <w:rsid w:val="7A374858"/>
    <w:rsid w:val="7A374973"/>
    <w:rsid w:val="7A386A80"/>
    <w:rsid w:val="7A5619EB"/>
    <w:rsid w:val="7AD3698E"/>
    <w:rsid w:val="7AE109FA"/>
    <w:rsid w:val="7B024311"/>
    <w:rsid w:val="7B424124"/>
    <w:rsid w:val="7B891A81"/>
    <w:rsid w:val="7B9E62B4"/>
    <w:rsid w:val="7C0368EC"/>
    <w:rsid w:val="7C2805C6"/>
    <w:rsid w:val="7C2F4BAF"/>
    <w:rsid w:val="7CAA3E0F"/>
    <w:rsid w:val="7CBD10F1"/>
    <w:rsid w:val="7CBD6031"/>
    <w:rsid w:val="7CC83053"/>
    <w:rsid w:val="7D3601F8"/>
    <w:rsid w:val="7D371093"/>
    <w:rsid w:val="7DF4570A"/>
    <w:rsid w:val="7E03418E"/>
    <w:rsid w:val="7E3F5848"/>
    <w:rsid w:val="7E4C38CD"/>
    <w:rsid w:val="7E6274F8"/>
    <w:rsid w:val="7E943C79"/>
    <w:rsid w:val="7E9F044F"/>
    <w:rsid w:val="7EDB2825"/>
    <w:rsid w:val="7EF06469"/>
    <w:rsid w:val="7EFD2430"/>
    <w:rsid w:val="7F035CEF"/>
    <w:rsid w:val="7F05373E"/>
    <w:rsid w:val="7F1048E6"/>
    <w:rsid w:val="7F2B3F39"/>
    <w:rsid w:val="7F445CA8"/>
    <w:rsid w:val="7F460F6D"/>
    <w:rsid w:val="7F7B394A"/>
    <w:rsid w:val="7F9D5265"/>
    <w:rsid w:val="7FB95CCC"/>
    <w:rsid w:val="7FC878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21"/>
      <w:szCs w:val="21"/>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kern w:val="2"/>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0"/>
    <w:rPr>
      <w:b/>
    </w:rPr>
  </w:style>
  <w:style w:type="character" w:styleId="10">
    <w:name w:val="page number"/>
    <w:basedOn w:val="8"/>
    <w:uiPriority w:val="0"/>
  </w:style>
  <w:style w:type="character" w:styleId="11">
    <w:name w:val="FollowedHyperlink"/>
    <w:basedOn w:val="8"/>
    <w:qFormat/>
    <w:uiPriority w:val="0"/>
    <w:rPr>
      <w:color w:val="66331E"/>
      <w:u w:val="none"/>
    </w:rPr>
  </w:style>
  <w:style w:type="character" w:styleId="12">
    <w:name w:val="Hyperlink"/>
    <w:basedOn w:val="8"/>
    <w:qFormat/>
    <w:uiPriority w:val="0"/>
    <w:rPr>
      <w:color w:val="0000FF"/>
      <w:u w:val="single"/>
    </w:rPr>
  </w:style>
  <w:style w:type="paragraph" w:customStyle="1" w:styleId="13">
    <w:name w:val="p"/>
    <w:basedOn w:val="1"/>
    <w:qFormat/>
    <w:uiPriority w:val="0"/>
    <w:pPr>
      <w:spacing w:line="525" w:lineRule="atLeast"/>
      <w:ind w:firstLine="375"/>
    </w:pPr>
  </w:style>
  <w:style w:type="paragraph" w:customStyle="1" w:styleId="14">
    <w:name w:val="Default"/>
    <w:unhideWhenUsed/>
    <w:qFormat/>
    <w:uiPriority w:val="99"/>
    <w:pPr>
      <w:widowControl w:val="0"/>
      <w:autoSpaceDE w:val="0"/>
      <w:autoSpaceDN w:val="0"/>
      <w:adjustRightInd w:val="0"/>
    </w:pPr>
    <w:rPr>
      <w:rFonts w:hint="eastAsia" w:ascii="Arial Unicode MS" w:hAnsi="Arial Unicode MS" w:eastAsia="Arial Unicode MS" w:cs="Times New Roman"/>
      <w:color w:val="000000"/>
      <w:sz w:val="24"/>
      <w:lang w:val="en-US" w:eastAsia="zh-CN" w:bidi="ar-SA"/>
    </w:r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29</Pages>
  <Words>3288</Words>
  <Characters>18744</Characters>
  <Lines>156</Lines>
  <Paragraphs>43</Paragraphs>
  <TotalTime>14</TotalTime>
  <ScaleCrop>false</ScaleCrop>
  <LinksUpToDate>false</LinksUpToDate>
  <CharactersWithSpaces>21989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华</cp:lastModifiedBy>
  <cp:lastPrinted>2019-09-23T05:02:00Z</cp:lastPrinted>
  <dcterms:modified xsi:type="dcterms:W3CDTF">2019-10-09T06:57:55Z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