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firstLine="0" w:firstLineChars="0"/>
        <w:rPr>
          <w:rFonts w:hint="default" w:ascii="Times New Roman" w:hAnsi="Times New Roman" w:eastAsia="黑体" w:cs="Times New Roman"/>
          <w:sz w:val="32"/>
          <w:szCs w:val="32"/>
        </w:rPr>
      </w:pPr>
      <w:bookmarkStart w:id="1" w:name="_GoBack"/>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700" w:lineRule="exact"/>
        <w:ind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互认项目（2019版）</w:t>
      </w:r>
    </w:p>
    <w:bookmarkEnd w:id="1"/>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一、临床检验项目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（一）</w:t>
      </w:r>
      <w:r>
        <w:rPr>
          <w:rFonts w:hint="default" w:ascii="Times New Roman" w:hAnsi="Times New Roman" w:eastAsia="楷体_GB2312" w:cs="Times New Roman"/>
          <w:sz w:val="32"/>
          <w:szCs w:val="32"/>
          <w:lang w:eastAsia="zh-CN"/>
        </w:rPr>
        <w:t>血细胞分析项目：</w:t>
      </w:r>
      <w:r>
        <w:rPr>
          <w:rFonts w:hint="default" w:ascii="Times New Roman" w:hAnsi="Times New Roman" w:eastAsia="仿宋_GB2312" w:cs="Times New Roman"/>
          <w:sz w:val="32"/>
          <w:szCs w:val="32"/>
          <w:lang w:eastAsia="zh-CN"/>
        </w:rPr>
        <w:t>红细胞、血红蛋白、血小板、红细胞压积、红细胞平均压积体积(MCV)</w:t>
      </w:r>
      <w:r>
        <w:rPr>
          <w:rFonts w:hint="default" w:ascii="Times New Roman" w:hAnsi="Times New Roman" w:eastAsia="仿宋_GB2312" w:cs="Times New Roman"/>
          <w:sz w:val="32"/>
          <w:szCs w:val="32"/>
          <w:lang w:val="en-US" w:eastAsia="zh-CN"/>
        </w:rPr>
        <w:t>、平均红细胞血红蛋白含量(MCH)、平均红细胞血红蛋白浓度(MCHC)。</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（二）尿常规项目：</w:t>
      </w:r>
      <w:r>
        <w:rPr>
          <w:rFonts w:hint="default" w:ascii="Times New Roman" w:hAnsi="Times New Roman" w:eastAsia="仿宋_GB2312" w:cs="Times New Roman"/>
          <w:sz w:val="32"/>
          <w:szCs w:val="32"/>
          <w:lang w:val="en-US" w:eastAsia="zh-CN"/>
        </w:rPr>
        <w:t>葡萄糖（GLU)、胆红素(BIL)、尿胆原(URO)、酮体（KET）、潜血（BLD）、酸碱度（pH）、蛋白质（PRO）、亚硝酸盐（NIT）、白细胞（LEU）、比重（SG）。</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（三）生化项目：</w:t>
      </w:r>
      <w:r>
        <w:rPr>
          <w:rFonts w:hint="default" w:ascii="Times New Roman" w:hAnsi="Times New Roman" w:eastAsia="仿宋_GB2312" w:cs="Times New Roman"/>
          <w:sz w:val="32"/>
          <w:szCs w:val="32"/>
          <w:lang w:val="en-US" w:eastAsia="zh-CN"/>
        </w:rPr>
        <w:t>总蛋白、白蛋白、丙氨酸氨基转移酶、天门冬氨酸氨基转移酶、总胆红素、直接胆红素、碱性磷酸酶、γ-谷氨酰转肽酶、尿素、肌酐、尿酸、总胆固醇、甘油三酯、高密度脂蛋白胆固醇（HDL-c）、低密度脂蛋白胆固醇（LDC-c）、淀粉酶、肌酸激酶（CK）、乳酸脱氢酶（LDH）、磷、糖化血红蛋白A1c。</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（四）免疫项目：</w:t>
      </w:r>
      <w:r>
        <w:rPr>
          <w:rFonts w:hint="default" w:ascii="Times New Roman" w:hAnsi="Times New Roman" w:eastAsia="仿宋_GB2312" w:cs="Times New Roman"/>
          <w:sz w:val="32"/>
          <w:szCs w:val="32"/>
          <w:lang w:val="en-US" w:eastAsia="zh-CN"/>
        </w:rPr>
        <w:t>乙肝两对半、丙肝抗体、甲胎蛋白（AFP）、癌胚抗原（CEA）、前列腺特异性抗原(PSA)。</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二、影像学检查项目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（一）达到互认标准的</w:t>
      </w:r>
      <w:r>
        <w:rPr>
          <w:rFonts w:hint="default" w:ascii="Times New Roman" w:hAnsi="Times New Roman" w:eastAsia="仿宋_GB2312" w:cs="Times New Roman"/>
          <w:sz w:val="32"/>
          <w:szCs w:val="32"/>
        </w:rPr>
        <w:t>普通放射线检查，包括普通平片、CR、DR</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lang w:val="en-US" w:eastAsia="zh-CN"/>
        </w:rPr>
        <w:t xml:space="preserve"> </w:t>
      </w:r>
      <w:r>
        <w:rPr>
          <w:rFonts w:hint="default" w:ascii="Times New Roman" w:hAnsi="Times New Roman" w:eastAsia="仿宋_GB2312" w:cs="Times New Roman"/>
          <w:b/>
          <w:bCs/>
          <w:sz w:val="32"/>
          <w:szCs w:val="32"/>
          <w:lang w:val="en-US" w:eastAsia="zh-CN"/>
        </w:rPr>
        <w:t>互认要求：</w:t>
      </w:r>
      <w:r>
        <w:rPr>
          <w:rFonts w:hint="default" w:ascii="Times New Roman" w:hAnsi="Times New Roman" w:eastAsia="仿宋_GB2312" w:cs="Times New Roman"/>
          <w:sz w:val="32"/>
          <w:szCs w:val="32"/>
          <w:lang w:val="en-US" w:eastAsia="zh-CN"/>
        </w:rPr>
        <w:t>普通放射性检查，</w:t>
      </w:r>
      <w:r>
        <w:rPr>
          <w:rFonts w:hint="default" w:ascii="Times New Roman" w:hAnsi="Times New Roman" w:eastAsia="仿宋_GB2312" w:cs="Times New Roman"/>
          <w:sz w:val="32"/>
          <w:szCs w:val="32"/>
        </w:rPr>
        <w:t>摄影部位及技术条件符合中华放射学会质量与安全管理委员会的技术规范</w:t>
      </w:r>
      <w:r>
        <w:rPr>
          <w:rFonts w:hint="default" w:ascii="Times New Roman" w:hAnsi="Times New Roman" w:eastAsia="仿宋_GB2312" w:cs="Times New Roman"/>
          <w:sz w:val="32"/>
          <w:szCs w:val="32"/>
          <w:lang w:eastAsia="zh-CN"/>
        </w:rPr>
        <w:t>，具有时效性。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kern w:val="2"/>
          <w:sz w:val="32"/>
          <w:szCs w:val="32"/>
          <w:lang w:val="en-US" w:eastAsia="zh-CN" w:bidi="ar-SA"/>
        </w:rPr>
        <w:t xml:space="preserve">  （二）达到互认标准的使</w:t>
      </w:r>
      <w:r>
        <w:rPr>
          <w:rFonts w:hint="default" w:ascii="Times New Roman" w:hAnsi="Times New Roman" w:eastAsia="仿宋_GB2312" w:cs="Times New Roman"/>
          <w:sz w:val="32"/>
          <w:szCs w:val="32"/>
        </w:rPr>
        <w:t>用甲、乙类大型医用设备的检查项目，包括PET－CT、PET-MRI、SPECT、CT、MRI等</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互认要求：</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涉及的影像资料应做到检查过程规范、拍摄部位正确完整、影片图像清晰、质量可靠、达到诊断要求，并具有时效性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数字化图像检查互认，需提供符合DICOM标准的原始</w:t>
      </w:r>
      <w:r>
        <w:rPr>
          <w:rFonts w:hint="default" w:ascii="Times New Roman" w:hAnsi="Times New Roman" w:eastAsia="仿宋_GB2312" w:cs="Times New Roman"/>
          <w:sz w:val="32"/>
          <w:szCs w:val="32"/>
          <w:lang w:val="en-US" w:eastAsia="zh-CN"/>
        </w:rPr>
        <w:t>医学影像</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lang w:val="en-US" w:eastAsia="zh-CN"/>
        </w:rPr>
        <w:t>3.如对影像诊断结果有异议，可以与患者沟通申请院内会诊。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（三）达到互认标准的部分</w:t>
      </w:r>
      <w:bookmarkStart w:id="0" w:name="_Hlk25175268"/>
      <w:r>
        <w:rPr>
          <w:rFonts w:hint="default" w:ascii="Times New Roman" w:hAnsi="Times New Roman" w:eastAsia="仿宋_GB2312" w:cs="Times New Roman"/>
          <w:kern w:val="2"/>
          <w:sz w:val="32"/>
          <w:szCs w:val="32"/>
          <w:lang w:val="en-US" w:eastAsia="zh-CN" w:bidi="ar-SA"/>
        </w:rPr>
        <w:t>多发病、常见病</w:t>
      </w:r>
      <w:bookmarkEnd w:id="0"/>
      <w:r>
        <w:rPr>
          <w:rFonts w:hint="default" w:ascii="Times New Roman" w:hAnsi="Times New Roman" w:eastAsia="仿宋_GB2312" w:cs="Times New Roman"/>
          <w:kern w:val="2"/>
          <w:sz w:val="32"/>
          <w:szCs w:val="32"/>
          <w:lang w:val="en-US" w:eastAsia="zh-CN" w:bidi="ar-SA"/>
        </w:rPr>
        <w:t>的病理技术结果，包括银染、MASSON三色、抗酸、六胺银、PAS、AB、弹力纤维、粘液卡红等特殊染色结果，CK、EMA、ER、PR、VIM、 CD20、CD3、Ki67、TTF1、P63、P40、CK7、CK20、CDX2、SMA、HMB45、S-100、 CD68、CK19、CEA等免疫组化结果。</w:t>
      </w:r>
    </w:p>
    <w:p>
      <w:r>
        <w:rPr>
          <w:rFonts w:hint="default" w:ascii="Times New Roman" w:hAnsi="Times New Roman" w:eastAsia="仿宋_GB2312" w:cs="Times New Roman"/>
          <w:b/>
          <w:bCs/>
          <w:kern w:val="2"/>
          <w:sz w:val="32"/>
          <w:szCs w:val="32"/>
          <w:lang w:val="en-US" w:eastAsia="zh-CN" w:bidi="ar-SA"/>
        </w:rPr>
        <w:t>互认要求：</w:t>
      </w:r>
      <w:r>
        <w:rPr>
          <w:rFonts w:hint="default"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制片质量好：切片完整，厚薄适中，染色对比清晰，封片透明洁净，无污染、皱褶、裂隙、空洞等。2.免疫组化需要有对照，达到诊断要求。3.多发病、常见病种包括扁桃腺炎、鼻咽癌、慢性支气管炎、胆囊炎、胆石症、阑尾炎、肺腺癌、胃癌、乳腺癌、增殖期子宫内膜、分泌期子宫内膜、胎盘组织、结肠腺瘤、慢性胃炎、乳腺纤维腺瘤、乳腺纤维囊性乳腺病等。4.细胞学检查：如胸腹水、痰液、尿液、脑脊液，甲状腺穿刺细胞检查，妇科宫颈液基细胞检查等。5.通过省病理质量控制中心的质量核查（通过核查的医院名单由省病理质控中心公布）。</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6338"/>
    <w:rsid w:val="158B6338"/>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cs="Times New Roman"/>
      <w:szCs w:val="24"/>
      <w:lang w:bidi="ar-SA"/>
    </w:rPr>
  </w:style>
  <w:style w:type="paragraph" w:customStyle="1" w:styleId="5">
    <w:name w:val="列表段落1"/>
    <w:basedOn w:val="1"/>
    <w:qFormat/>
    <w:uiPriority w:val="99"/>
    <w:pPr>
      <w:ind w:firstLine="420"/>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2020-01-02T03:14:00Z</dcterms:created>
  <dc:creator>华</dc:creator>
  <cp:lastModifiedBy>华</cp:lastModifiedBy>
  <dcterms:modified xsi:type="dcterms:W3CDTF">2020-01-02T03:14:51Z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