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beforeLines="0" w:after="0" w:afterLines="0" w:line="600" w:lineRule="exact"/>
        <w:ind w:right="44" w:rightChars="21"/>
        <w:rPr>
          <w:rFonts w:hint="default" w:ascii="Times New Roman" w:hAnsi="Times New Roman" w:cs="Times New Roman"/>
          <w:b w:val="0"/>
          <w:sz w:val="32"/>
          <w:szCs w:val="32"/>
        </w:rPr>
      </w:pPr>
      <w:bookmarkStart w:id="3" w:name="_GoBack"/>
      <w:bookmarkStart w:id="0" w:name="_Toc233645385"/>
      <w:bookmarkStart w:id="1" w:name="_Toc320776600"/>
      <w:bookmarkStart w:id="2" w:name="_Toc320795570"/>
      <w:r>
        <w:rPr>
          <w:rFonts w:hint="default" w:ascii="Times New Roman" w:hAnsi="Times New Roman" w:cs="Times New Roman"/>
          <w:b w:val="0"/>
          <w:sz w:val="32"/>
          <w:szCs w:val="32"/>
        </w:rPr>
        <w:t>附件3</w:t>
      </w:r>
    </w:p>
    <w:p>
      <w:pPr>
        <w:rPr>
          <w:rFonts w:hint="eastAsia"/>
        </w:rPr>
      </w:pPr>
    </w:p>
    <w:bookmarkEnd w:id="0"/>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方正小标宋简体"/>
          <w:b w:val="0"/>
          <w:sz w:val="44"/>
        </w:rPr>
      </w:pPr>
      <w:r>
        <w:rPr>
          <w:rFonts w:hint="eastAsia" w:ascii="Times New Roman" w:hAnsi="Times New Roman" w:eastAsia="方正小标宋简体"/>
          <w:b w:val="0"/>
          <w:sz w:val="44"/>
        </w:rPr>
        <w:t>公共交通工具新型冠状病毒感染的肺炎</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42" w:rightChars="2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预防控制指引</w:t>
      </w:r>
      <w:bookmarkEnd w:id="1"/>
      <w:bookmarkEnd w:id="2"/>
    </w:p>
    <w:bookmarkEnd w:id="3"/>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Times New Roman" w:cs="Times New Roman"/>
          <w:snapToGrid w:val="0"/>
          <w:kern w:val="0"/>
          <w:sz w:val="32"/>
        </w:rPr>
      </w:pPr>
    </w:p>
    <w:p>
      <w:pPr>
        <w:pStyle w:val="4"/>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snapToGrid w:val="0"/>
          <w:kern w:val="0"/>
          <w:sz w:val="32"/>
        </w:rPr>
      </w:pPr>
      <w:r>
        <w:rPr>
          <w:rFonts w:hint="default" w:ascii="Times New Roman" w:hAnsi="Times New Roman" w:eastAsia="黑体" w:cs="Times New Roman"/>
          <w:snapToGrid w:val="0"/>
          <w:kern w:val="0"/>
          <w:sz w:val="32"/>
        </w:rPr>
        <w:t>预防控制措施</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（一）非空调车的车窗应尽量打开，保持车内良好通风状态；密闭的空调车要开启换气扇及空调排风装置，以增加空气流通。</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（二）保持车站、车厢内的卫生整洁，及时打扫卫生和清理垃圾。</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（三）司机和乘务人员要戴一次性口罩（每4小时换一次），在上车入口提供一次性口罩。</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（四）自觉有发热、咳嗽、乏力的人员建议不乘坐公共交通工具，普通乘客建议戴一次性口罩（每4小时换一次）。</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（五）增加车站、车厢内清洁消毒频次，指派专人进行清洁消毒工作的督导检查，做好清洁消毒工作记录和标识。</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六）司机等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（七）做好司乘人员工作与轮休安排，确保司乘人员得到足够休息。</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（八）加强健康教育。设置新型冠状病毒感染的肺炎相关防控知识宣传栏。利用各种显示屏宣传新型冠状病毒和冬春季传染病防控。</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二、日常清洁及预防性消毒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（一）表面：可使用含氯消毒剂（有效氯浓度250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（二）地面：可使用含氯消毒剂（有效氯浓度250 mg/L～500 mg/L）用拖布湿式拖拭，作用30min，再用清水洗净。</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三、常见消毒剂及配制使用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（一）有效氯浓度500 mg/L的含氯消毒剂配制方法：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84消毒液（有效氯含量5%）：按消毒液：水为1:100比例稀释；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（三）其他消毒剂按产品标签标识以杀灭肠道致病菌的浓度进行配制和使用。</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四、注意事项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（一）含氯消毒剂有皮肤黏膜刺激性，配置和使用时建议佩戴口罩和手套，儿童请勿触碰。</w:t>
      </w:r>
    </w:p>
    <w:p>
      <w:r>
        <w:rPr>
          <w:rFonts w:hint="default" w:ascii="Times New Roman" w:hAnsi="Times New Roman" w:eastAsia="仿宋_GB2312" w:cs="Times New Roman"/>
          <w:snapToGrid w:val="0"/>
          <w:kern w:val="0"/>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AEA79"/>
    <w:multiLevelType w:val="multilevel"/>
    <w:tmpl w:val="5E2AEA79"/>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37769"/>
    <w:rsid w:val="223B789B"/>
    <w:rsid w:val="53E37769"/>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Normal (Web)"/>
    <w:basedOn w:val="1"/>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7">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2020-02-01T01:24:00Z</dcterms:created>
  <dc:creator>华</dc:creator>
  <cp:lastModifiedBy>华</cp:lastModifiedBy>
  <dcterms:modified xsi:type="dcterms:W3CDTF">2020-02-01T01:25:19Z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