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val="0"/>
          <w:kern w:val="0"/>
          <w:sz w:val="32"/>
          <w:szCs w:val="32"/>
        </w:rPr>
      </w:pPr>
      <w:bookmarkStart w:id="0" w:name="_GoBack"/>
      <w:r>
        <w:rPr>
          <w:rFonts w:hint="default" w:ascii="Times New Roman" w:hAnsi="Times New Roman" w:eastAsia="黑体" w:cs="Times New Roman"/>
          <w:b w:val="0"/>
          <w:kern w:val="0"/>
          <w:sz w:val="32"/>
          <w:szCs w:val="32"/>
        </w:rPr>
        <w:t>附件1</w:t>
      </w:r>
    </w:p>
    <w:p>
      <w:pPr>
        <w:pStyle w:val="3"/>
        <w:widowControl/>
        <w:spacing w:before="0" w:beforeAutospacing="0" w:after="0" w:afterAutospacing="0" w:line="560" w:lineRule="exact"/>
        <w:ind w:left="0" w:firstLine="0" w:firstLineChars="0"/>
        <w:jc w:val="center"/>
        <w:rPr>
          <w:rFonts w:hint="default" w:ascii="Times New Roman" w:hAnsi="Times New Roman" w:eastAsia="方正小标宋简体" w:cs="Times New Roman"/>
          <w:b w:val="0"/>
          <w:kern w:val="0"/>
          <w:sz w:val="44"/>
          <w:szCs w:val="44"/>
        </w:rPr>
      </w:pPr>
      <w:r>
        <w:rPr>
          <w:rFonts w:hint="default" w:ascii="Times New Roman" w:hAnsi="Times New Roman" w:eastAsia="方正小标宋简体" w:cs="Times New Roman"/>
          <w:b w:val="0"/>
          <w:kern w:val="0"/>
          <w:sz w:val="44"/>
          <w:szCs w:val="44"/>
        </w:rPr>
        <w:t xml:space="preserve"> </w:t>
      </w:r>
    </w:p>
    <w:p>
      <w:pPr>
        <w:pStyle w:val="3"/>
        <w:keepNext/>
        <w:keepLines w:val="0"/>
        <w:pageBreakBefore w:val="0"/>
        <w:widowControl/>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3"/>
        <w:rPr>
          <w:rFonts w:hint="default" w:ascii="Times New Roman" w:hAnsi="Times New Roman" w:eastAsia="方正小标宋简体" w:cs="Times New Roman"/>
          <w:b w:val="0"/>
          <w:kern w:val="0"/>
          <w:sz w:val="36"/>
          <w:szCs w:val="36"/>
        </w:rPr>
      </w:pPr>
      <w:r>
        <w:rPr>
          <w:rFonts w:hint="default" w:ascii="Times New Roman" w:hAnsi="Times New Roman" w:eastAsia="方正小标宋简体" w:cs="Times New Roman"/>
          <w:b w:val="0"/>
          <w:kern w:val="0"/>
          <w:sz w:val="44"/>
          <w:szCs w:val="44"/>
        </w:rPr>
        <w:t>养老服务机构新冠肺炎疫情应急预案</w:t>
      </w:r>
    </w:p>
    <w:bookmarkEnd w:id="0"/>
    <w:p>
      <w:pPr>
        <w:pStyle w:val="4"/>
        <w:keepNext w:val="0"/>
        <w:keepLines w:val="0"/>
        <w:widowControl w:val="0"/>
        <w:suppressLineNumbers w:val="0"/>
        <w:spacing w:before="0" w:beforeAutospacing="0" w:after="0" w:afterAutospacing="0" w:line="560" w:lineRule="exact"/>
        <w:ind w:left="0" w:right="0" w:firstLine="420"/>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val="en-US" w:eastAsia="zh-CN" w:bidi="ar"/>
        </w:rPr>
        <w:t xml:space="preserve">一、成立防控应急领导小组，建立保障机制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养老机构成立主要负责人任领导小组组长的新冠肺炎疫情应急领导小组，下设医疗保障、安全后勤保障、消毒等职能小组，并明确职责分工。</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b/>
          <w:snapToGrid w:val="0"/>
          <w:kern w:val="0"/>
          <w:sz w:val="32"/>
          <w:szCs w:val="32"/>
        </w:rPr>
      </w:pPr>
      <w:r>
        <w:rPr>
          <w:rFonts w:hint="default" w:ascii="Times New Roman" w:hAnsi="Times New Roman" w:eastAsia="黑体" w:cs="Times New Roman"/>
          <w:snapToGrid w:val="0"/>
          <w:kern w:val="0"/>
          <w:sz w:val="32"/>
          <w:szCs w:val="32"/>
          <w:lang w:val="en-US" w:eastAsia="zh-CN" w:bidi="ar"/>
        </w:rPr>
        <w:t>二、实施应急</w:t>
      </w:r>
      <w:r>
        <w:rPr>
          <w:rFonts w:hint="eastAsia" w:eastAsia="黑体" w:cs="Times New Roman"/>
          <w:snapToGrid w:val="0"/>
          <w:kern w:val="0"/>
          <w:sz w:val="32"/>
          <w:szCs w:val="32"/>
          <w:lang w:val="en-US" w:eastAsia="zh-CN" w:bidi="ar"/>
        </w:rPr>
        <w:t>处置</w:t>
      </w:r>
      <w:r>
        <w:rPr>
          <w:rFonts w:hint="default" w:ascii="Times New Roman" w:hAnsi="Times New Roman" w:eastAsia="黑体" w:cs="Times New Roman"/>
          <w:snapToGrid w:val="0"/>
          <w:kern w:val="0"/>
          <w:sz w:val="32"/>
          <w:szCs w:val="32"/>
          <w:lang w:val="en-US" w:eastAsia="zh-CN" w:bidi="ar"/>
        </w:rPr>
        <w:t>措施</w:t>
      </w:r>
      <w:r>
        <w:rPr>
          <w:rFonts w:hint="default" w:ascii="Times New Roman" w:hAnsi="Times New Roman" w:eastAsia="黑体" w:cs="Times New Roman"/>
          <w:b/>
          <w:snapToGrid w:val="0"/>
          <w:kern w:val="0"/>
          <w:sz w:val="32"/>
          <w:szCs w:val="32"/>
          <w:lang w:val="en-US" w:eastAsia="zh-CN" w:bidi="ar"/>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snapToGrid w:val="0"/>
          <w:kern w:val="0"/>
          <w:sz w:val="32"/>
          <w:szCs w:val="32"/>
        </w:rPr>
      </w:pPr>
      <w:r>
        <w:rPr>
          <w:rFonts w:hint="default" w:ascii="Times New Roman" w:hAnsi="Times New Roman" w:eastAsia="仿宋_GB2312" w:cs="Times New Roman"/>
          <w:snapToGrid w:val="0"/>
          <w:kern w:val="0"/>
          <w:sz w:val="32"/>
          <w:szCs w:val="32"/>
          <w:lang w:val="en-US" w:eastAsia="zh-CN" w:bidi="ar"/>
        </w:rPr>
        <w:t>复工复产期间如出现确诊病例、疑似病例和无症状感染者时，应启动本预案。</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snapToGrid w:val="0"/>
          <w:kern w:val="0"/>
          <w:sz w:val="32"/>
          <w:szCs w:val="32"/>
        </w:rPr>
      </w:pPr>
      <w:r>
        <w:rPr>
          <w:rFonts w:hint="default" w:ascii="Times New Roman" w:hAnsi="Times New Roman" w:eastAsia="楷体_GB2312" w:cs="Times New Roman"/>
          <w:b w:val="0"/>
          <w:snapToGrid w:val="0"/>
          <w:kern w:val="0"/>
          <w:sz w:val="32"/>
          <w:szCs w:val="32"/>
          <w:lang w:val="en-US" w:eastAsia="zh-CN" w:bidi="ar"/>
        </w:rPr>
        <w:t>（一）散发病例。</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1</w:t>
      </w:r>
      <w:r>
        <w:rPr>
          <w:rFonts w:hint="eastAsia"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发现可疑病例时，应立即引导病例到临时医学观察点或单独隔离观察间进行留观，联系机构所在社区（村</w:t>
      </w:r>
      <w:r>
        <w:rPr>
          <w:rFonts w:hint="eastAsia" w:eastAsia="仿宋_GB2312" w:cs="Times New Roman"/>
          <w:snapToGrid w:val="0"/>
          <w:kern w:val="0"/>
          <w:sz w:val="32"/>
          <w:szCs w:val="32"/>
          <w:lang w:val="en-US" w:eastAsia="zh-CN" w:bidi="ar"/>
        </w:rPr>
        <w:t>居</w:t>
      </w:r>
      <w:r>
        <w:rPr>
          <w:rFonts w:hint="default" w:ascii="Times New Roman" w:hAnsi="Times New Roman" w:eastAsia="仿宋_GB2312" w:cs="Times New Roman"/>
          <w:snapToGrid w:val="0"/>
          <w:kern w:val="0"/>
          <w:sz w:val="32"/>
          <w:szCs w:val="32"/>
          <w:lang w:val="en-US" w:eastAsia="zh-CN" w:bidi="ar"/>
        </w:rPr>
        <w:t>）的社区卫生服务中心（乡镇卫生院）等医疗机构初步排查后，送辖区定点医院诊治，确诊后立即报告当地疾控中心。</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w:t>
      </w:r>
      <w:r>
        <w:rPr>
          <w:rFonts w:hint="eastAsia" w:eastAsia="仿宋_GB2312" w:cs="Times New Roman"/>
          <w:snapToGrid w:val="0"/>
          <w:kern w:val="0"/>
          <w:sz w:val="32"/>
          <w:szCs w:val="32"/>
          <w:lang w:val="en-US" w:eastAsia="zh-CN" w:bidi="ar"/>
        </w:rPr>
        <w:t>干</w:t>
      </w:r>
      <w:r>
        <w:rPr>
          <w:rFonts w:hint="default" w:ascii="Times New Roman" w:hAnsi="Times New Roman" w:eastAsia="仿宋_GB2312" w:cs="Times New Roman"/>
          <w:snapToGrid w:val="0"/>
          <w:kern w:val="0"/>
          <w:sz w:val="32"/>
          <w:szCs w:val="32"/>
          <w:lang w:val="en-US" w:eastAsia="zh-CN" w:bidi="ar"/>
        </w:rPr>
        <w:t>咳等疑似新冠肺炎症状时要及时送定点医院排查、诊治。</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除密切接触者外，与病例曾接触过但不符合密切接触者判定原则的人员，判定为一般接触者。对一般接触者要做好登记，并进行健康风险告知，嘱咐其一旦出现发热、</w:t>
      </w:r>
      <w:r>
        <w:rPr>
          <w:rFonts w:hint="eastAsia" w:eastAsia="仿宋_GB2312" w:cs="Times New Roman"/>
          <w:snapToGrid w:val="0"/>
          <w:kern w:val="0"/>
          <w:sz w:val="32"/>
          <w:szCs w:val="32"/>
          <w:lang w:val="en-US" w:eastAsia="zh-CN" w:bidi="ar"/>
        </w:rPr>
        <w:t>干</w:t>
      </w:r>
      <w:r>
        <w:rPr>
          <w:rFonts w:hint="default" w:ascii="Times New Roman" w:hAnsi="Times New Roman" w:eastAsia="仿宋_GB2312" w:cs="Times New Roman"/>
          <w:snapToGrid w:val="0"/>
          <w:kern w:val="0"/>
          <w:sz w:val="32"/>
          <w:szCs w:val="32"/>
          <w:lang w:val="en-US" w:eastAsia="zh-CN" w:bidi="ar"/>
        </w:rPr>
        <w:t>咳等疑似新冠肺炎症状时要及时告知健康管理员，并主动告知近期活动史，做好体温检测，佩戴口罩。</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所有配合疾控机构开展流行病学调查的人员，应做好个人防护，佩戴医用外科口罩等。</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3</w:t>
      </w:r>
      <w:r>
        <w:rPr>
          <w:rFonts w:hint="default"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在疾控机构的指导下，按国家和省的消毒指引，做好病例所在宿舍、相关活动区域、电梯的清洁、随时消毒和终末消毒工作。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bidi="ar"/>
        </w:rPr>
        <w:t>做好其他区域的保洁和消毒防疫工作；加强场所的通风换气和空调等公共设施及公共用具的消毒，每日对办公区域、老年人活动室、食堂、集体宿舍、卫生间、垃圾厢房、隔离区域等重点场所进行消毒；各工作场所和食堂入口要配备含酒精成分的手消毒液，厕所配备洗手液，指导和督促老年人及员工做好手卫生。</w:t>
      </w:r>
    </w:p>
    <w:p>
      <w:pPr>
        <w:pStyle w:val="4"/>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按照卫生健康部门的建议，根据疫情防控需要启动封闭式管理，因地制宜采取宿舍、楼栋封锁等措施，严格限制人员进出，严格控制外来人员、车辆进入。</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5</w:t>
      </w:r>
      <w:r>
        <w:rPr>
          <w:rFonts w:hint="default"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6</w:t>
      </w:r>
      <w:r>
        <w:rPr>
          <w:rFonts w:hint="default"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7</w:t>
      </w:r>
      <w:r>
        <w:rPr>
          <w:rFonts w:hint="default"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老年人及员工的情绪，避免过度恐慌。</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snapToGrid w:val="0"/>
          <w:kern w:val="0"/>
          <w:sz w:val="32"/>
          <w:szCs w:val="32"/>
          <w:lang w:val="en-US" w:eastAsia="zh-CN" w:bidi="ar"/>
        </w:rPr>
        <w:t>（二）1周内出现2例及以上聚集性病例。</w:t>
      </w:r>
      <w:r>
        <w:rPr>
          <w:rFonts w:hint="default" w:ascii="Times New Roman" w:hAnsi="Times New Roman" w:eastAsia="仿宋_GB2312" w:cs="Times New Roman"/>
          <w:snapToGrid w:val="0"/>
          <w:kern w:val="0"/>
          <w:sz w:val="32"/>
          <w:szCs w:val="32"/>
          <w:lang w:val="en-US" w:eastAsia="zh-CN" w:bidi="ar"/>
        </w:rPr>
        <w:t>应立即报告当地疾控</w:t>
      </w:r>
      <w:r>
        <w:rPr>
          <w:rFonts w:hint="eastAsia" w:eastAsia="仿宋_GB2312" w:cs="Times New Roman"/>
          <w:snapToGrid w:val="0"/>
          <w:kern w:val="0"/>
          <w:sz w:val="32"/>
          <w:szCs w:val="32"/>
          <w:lang w:val="en-US" w:eastAsia="zh-CN" w:bidi="ar"/>
        </w:rPr>
        <w:t>机构</w:t>
      </w:r>
      <w:r>
        <w:rPr>
          <w:rFonts w:hint="default" w:ascii="Times New Roman" w:hAnsi="Times New Roman" w:eastAsia="仿宋_GB2312" w:cs="Times New Roman"/>
          <w:snapToGrid w:val="0"/>
          <w:kern w:val="0"/>
          <w:sz w:val="32"/>
          <w:szCs w:val="32"/>
          <w:lang w:val="en-US" w:eastAsia="zh-CN" w:bidi="ar"/>
        </w:rPr>
        <w:t>，由疫情防控专家评估后采取相应管控措施。对发生聚集性疫情的建筑、院落实施硬隔离。</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lang w:val="en-US" w:eastAsia="zh-CN" w:bidi="ar"/>
        </w:rPr>
        <w:t>三、预案终止</w:t>
      </w:r>
      <w:r>
        <w:rPr>
          <w:rFonts w:hint="default" w:ascii="Times New Roman" w:hAnsi="Times New Roman" w:eastAsia="仿宋_GB2312" w:cs="Times New Roman"/>
          <w:snapToGrid w:val="0"/>
          <w:kern w:val="0"/>
          <w:sz w:val="32"/>
          <w:szCs w:val="32"/>
          <w:lang w:val="en-US" w:eastAsia="zh-CN" w:bidi="ar"/>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当病例已得到隔离治疗，密切接触者观察14天期满，后续无新发病例，环境得到有效消毒，经卫生健康部门评估，</w:t>
      </w:r>
      <w:r>
        <w:rPr>
          <w:rFonts w:hint="eastAsia" w:eastAsia="仿宋_GB2312" w:cs="Times New Roman"/>
          <w:snapToGrid w:val="0"/>
          <w:kern w:val="0"/>
          <w:sz w:val="32"/>
          <w:szCs w:val="32"/>
          <w:lang w:val="en-US" w:eastAsia="zh-CN" w:bidi="ar"/>
        </w:rPr>
        <w:t>可</w:t>
      </w:r>
      <w:r>
        <w:rPr>
          <w:rFonts w:hint="default" w:ascii="Times New Roman" w:hAnsi="Times New Roman" w:eastAsia="仿宋_GB2312" w:cs="Times New Roman"/>
          <w:snapToGrid w:val="0"/>
          <w:kern w:val="0"/>
          <w:sz w:val="32"/>
          <w:szCs w:val="32"/>
          <w:lang w:val="en-US" w:eastAsia="zh-CN" w:bidi="ar"/>
        </w:rPr>
        <w:t>由机构疫情</w:t>
      </w:r>
      <w:r>
        <w:rPr>
          <w:rFonts w:hint="eastAsia" w:eastAsia="仿宋_GB2312" w:cs="Times New Roman"/>
          <w:snapToGrid w:val="0"/>
          <w:kern w:val="0"/>
          <w:sz w:val="32"/>
          <w:szCs w:val="32"/>
          <w:lang w:val="en-US" w:eastAsia="zh-CN" w:bidi="ar"/>
        </w:rPr>
        <w:t>应急领导</w:t>
      </w:r>
      <w:r>
        <w:rPr>
          <w:rFonts w:hint="default" w:ascii="Times New Roman" w:hAnsi="Times New Roman" w:eastAsia="仿宋_GB2312" w:cs="Times New Roman"/>
          <w:snapToGrid w:val="0"/>
          <w:kern w:val="0"/>
          <w:sz w:val="32"/>
          <w:szCs w:val="32"/>
          <w:lang w:val="en-US" w:eastAsia="zh-CN" w:bidi="ar"/>
        </w:rPr>
        <w:t>小组决定终止响应。</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color w:val="000000"/>
          <w:kern w:val="0"/>
          <w:sz w:val="32"/>
          <w:szCs w:val="32"/>
          <w:lang w:val="en-US" w:eastAsia="zh-CN" w:bidi="ar"/>
        </w:rPr>
        <w:t>附</w:t>
      </w:r>
      <w:r>
        <w:rPr>
          <w:rFonts w:hint="eastAsia" w:eastAsia="仿宋_GB2312" w:cs="Times New Roman"/>
          <w:snapToGrid w:val="0"/>
          <w:color w:val="000000"/>
          <w:kern w:val="0"/>
          <w:sz w:val="32"/>
          <w:szCs w:val="32"/>
          <w:lang w:val="en-US" w:eastAsia="zh-CN" w:bidi="ar"/>
        </w:rPr>
        <w:t>件</w:t>
      </w:r>
      <w:r>
        <w:rPr>
          <w:rFonts w:hint="default" w:ascii="Times New Roman" w:hAnsi="Times New Roman" w:eastAsia="仿宋_GB2312" w:cs="Times New Roman"/>
          <w:snapToGrid w:val="0"/>
          <w:color w:val="00000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养老服务机构新冠肺炎疫情应急响应流程图</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rPr>
      </w:pPr>
    </w:p>
    <w:p>
      <w:pPr>
        <w:pStyle w:val="2"/>
        <w:rPr>
          <w:rFonts w:hint="eastAsia"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r>
        <w:drawing>
          <wp:anchor distT="0" distB="0" distL="114300" distR="114300" simplePos="0" relativeHeight="251658240" behindDoc="0" locked="0" layoutInCell="1" allowOverlap="1">
            <wp:simplePos x="0" y="0"/>
            <wp:positionH relativeFrom="column">
              <wp:posOffset>259080</wp:posOffset>
            </wp:positionH>
            <wp:positionV relativeFrom="paragraph">
              <wp:posOffset>371475</wp:posOffset>
            </wp:positionV>
            <wp:extent cx="5050155" cy="8035925"/>
            <wp:effectExtent l="0" t="0" r="1714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050155" cy="8035925"/>
                    </a:xfrm>
                    <a:prstGeom prst="rect">
                      <a:avLst/>
                    </a:prstGeom>
                    <a:noFill/>
                    <a:ln>
                      <a:noFill/>
                    </a:ln>
                  </pic:spPr>
                </pic:pic>
              </a:graphicData>
            </a:graphic>
          </wp:anchor>
        </w:drawing>
      </w:r>
      <w:r>
        <w:rPr>
          <w:rFonts w:hint="eastAsia" w:ascii="黑体" w:hAnsi="黑体" w:eastAsia="黑体" w:cs="黑体"/>
          <w:sz w:val="32"/>
          <w:szCs w:val="32"/>
          <w:lang w:val="en-US" w:eastAsia="zh-CN"/>
        </w:rPr>
        <w:t>附件</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B8FCF"/>
    <w:multiLevelType w:val="singleLevel"/>
    <w:tmpl w:val="5E5B8FCF"/>
    <w:lvl w:ilvl="0" w:tentative="0">
      <w:start w:val="2"/>
      <w:numFmt w:val="decimal"/>
      <w:suff w:val="nothing"/>
      <w:lvlText w:val="%1."/>
      <w:lvlJc w:val="left"/>
    </w:lvl>
  </w:abstractNum>
  <w:abstractNum w:abstractNumId="1">
    <w:nsid w:val="5E5B901A"/>
    <w:multiLevelType w:val="singleLevel"/>
    <w:tmpl w:val="5E5B901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86E79"/>
    <w:rsid w:val="223B789B"/>
    <w:rsid w:val="66C21D39"/>
    <w:rsid w:val="72F8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2020-03-02T04:43:00Z</dcterms:created>
  <dc:creator>华</dc:creator>
  <cp:lastModifiedBy>华</cp:lastModifiedBy>
  <dcterms:modified xsi:type="dcterms:W3CDTF">2020-03-02T04:44:07Z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