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topLinePunct w:val="0"/>
        <w:autoSpaceDE/>
        <w:autoSpaceDN/>
        <w:bidi w:val="0"/>
        <w:spacing w:line="560" w:lineRule="exact"/>
        <w:jc w:val="both"/>
        <w:textAlignment w:val="auto"/>
        <w:rPr>
          <w:rFonts w:hint="default" w:ascii="Times New Roman" w:hAnsi="Times New Roman" w:eastAsia="黑体" w:cs="Times New Roman"/>
          <w:snapToGrid w:val="0"/>
          <w:kern w:val="0"/>
          <w:sz w:val="32"/>
          <w:szCs w:val="32"/>
          <w:lang w:val="en-US" w:eastAsia="zh-CN"/>
        </w:rPr>
      </w:pPr>
      <w:bookmarkStart w:id="0" w:name="_GoBack"/>
      <w:r>
        <w:rPr>
          <w:rFonts w:hint="default" w:ascii="Times New Roman" w:hAnsi="Times New Roman" w:eastAsia="黑体" w:cs="Times New Roman"/>
          <w:snapToGrid w:val="0"/>
          <w:kern w:val="0"/>
          <w:sz w:val="32"/>
          <w:szCs w:val="32"/>
          <w:lang w:val="en-US" w:eastAsia="zh-CN"/>
        </w:rPr>
        <w:t>附件4</w:t>
      </w:r>
    </w:p>
    <w:p>
      <w:pPr>
        <w:pStyle w:val="2"/>
        <w:keepNext w:val="0"/>
        <w:keepLines w:val="0"/>
        <w:pageBreakBefore w:val="0"/>
        <w:kinsoku/>
        <w:wordWrap/>
        <w:topLinePunct w:val="0"/>
        <w:autoSpaceDE/>
        <w:autoSpaceDN/>
        <w:bidi w:val="0"/>
        <w:spacing w:line="560" w:lineRule="exact"/>
        <w:jc w:val="both"/>
        <w:textAlignment w:val="auto"/>
        <w:rPr>
          <w:rFonts w:hint="default" w:ascii="Times New Roman" w:hAnsi="Times New Roman" w:eastAsia="仿宋_GB2312" w:cs="Times New Roman"/>
          <w:snapToGrid w:val="0"/>
          <w:kern w:val="0"/>
          <w:sz w:val="32"/>
          <w:szCs w:val="32"/>
          <w:lang w:val="en-US" w:eastAsia="zh-CN"/>
        </w:rPr>
      </w:pPr>
    </w:p>
    <w:p>
      <w:pPr>
        <w:spacing w:beforeLines="0" w:afterLines="0" w:line="560" w:lineRule="exact"/>
        <w:ind w:firstLine="641"/>
        <w:jc w:val="center"/>
        <w:rPr>
          <w:rFonts w:hint="default" w:ascii="Times New Roman" w:hAnsi="Times New Roman" w:eastAsia="方正小标宋简体" w:cs="Times New Roman"/>
          <w:snapToGrid w:val="0"/>
          <w:kern w:val="0"/>
          <w:sz w:val="44"/>
          <w:szCs w:val="44"/>
          <w:lang w:val="en-US" w:eastAsia="zh-CN"/>
        </w:rPr>
      </w:pPr>
      <w:r>
        <w:rPr>
          <w:rFonts w:hint="default" w:ascii="Times New Roman" w:hAnsi="Times New Roman" w:eastAsia="方正小标宋简体" w:cs="Times New Roman"/>
          <w:snapToGrid w:val="0"/>
          <w:kern w:val="0"/>
          <w:sz w:val="44"/>
          <w:szCs w:val="44"/>
          <w:lang w:val="en-US" w:eastAsia="zh-CN"/>
        </w:rPr>
        <w:t>广东省血液透析室（中心）新冠肺炎</w:t>
      </w:r>
    </w:p>
    <w:p>
      <w:pPr>
        <w:spacing w:beforeLines="0" w:afterLines="0" w:line="560" w:lineRule="exact"/>
        <w:ind w:firstLine="641"/>
        <w:jc w:val="center"/>
        <w:rPr>
          <w:rFonts w:hint="default" w:ascii="Times New Roman" w:hAnsi="Times New Roman" w:eastAsia="方正小标宋简体" w:cs="Times New Roman"/>
          <w:snapToGrid w:val="0"/>
          <w:kern w:val="0"/>
          <w:sz w:val="44"/>
          <w:szCs w:val="44"/>
          <w:lang w:val="en-US" w:eastAsia="zh-CN"/>
        </w:rPr>
      </w:pPr>
      <w:r>
        <w:rPr>
          <w:rFonts w:hint="default" w:ascii="Times New Roman" w:hAnsi="Times New Roman" w:eastAsia="方正小标宋简体" w:cs="Times New Roman"/>
          <w:snapToGrid w:val="0"/>
          <w:kern w:val="0"/>
          <w:sz w:val="44"/>
          <w:szCs w:val="44"/>
          <w:lang w:val="en-US" w:eastAsia="zh-CN"/>
        </w:rPr>
        <w:t>感染防控指引</w:t>
      </w:r>
      <w:r>
        <w:rPr>
          <w:rFonts w:hint="eastAsia" w:ascii="Times New Roman" w:hAnsi="Times New Roman" w:eastAsia="方正小标宋简体" w:cs="Times New Roman"/>
          <w:snapToGrid w:val="0"/>
          <w:kern w:val="0"/>
          <w:sz w:val="44"/>
          <w:szCs w:val="44"/>
          <w:lang w:val="en-US" w:eastAsia="zh-CN"/>
        </w:rPr>
        <w:t>（参考）</w:t>
      </w:r>
    </w:p>
    <w:bookmarkEnd w:id="0"/>
    <w:p>
      <w:pPr>
        <w:keepNext w:val="0"/>
        <w:keepLines w:val="0"/>
        <w:pageBreakBefore w:val="0"/>
        <w:kinsoku/>
        <w:wordWrap/>
        <w:topLinePunct w:val="0"/>
        <w:autoSpaceDE/>
        <w:autoSpaceDN/>
        <w:bidi w:val="0"/>
        <w:spacing w:line="560" w:lineRule="exact"/>
        <w:ind w:firstLine="640"/>
        <w:textAlignment w:val="auto"/>
        <w:rPr>
          <w:rFonts w:hint="default" w:ascii="Times New Roman" w:hAnsi="Times New Roman" w:eastAsia="仿宋_GB2312" w:cs="Times New Roman"/>
          <w:snapToGrid w:val="0"/>
          <w:kern w:val="0"/>
          <w:sz w:val="32"/>
          <w:szCs w:val="32"/>
          <w:lang w:val="en-US" w:eastAsia="zh-CN"/>
        </w:rPr>
      </w:pPr>
    </w:p>
    <w:p>
      <w:pPr>
        <w:spacing w:beforeLines="0" w:afterLines="0" w:line="560" w:lineRule="exact"/>
        <w:ind w:firstLine="640" w:firstLineChars="200"/>
        <w:jc w:val="both"/>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为做好血液透析室（中心）新冠肺炎防控工作，杜绝发生血透患者交叉感染，根据国家、省相关工作要求和指引，结合血液透析操作流程，制定本指引。</w:t>
      </w:r>
    </w:p>
    <w:p>
      <w:pPr>
        <w:keepNext w:val="0"/>
        <w:keepLines w:val="0"/>
        <w:pageBreakBefore w:val="0"/>
        <w:numPr>
          <w:ilvl w:val="0"/>
          <w:numId w:val="1"/>
        </w:numPr>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严格落实现有指引</w:t>
      </w:r>
    </w:p>
    <w:p>
      <w:pPr>
        <w:keepNext w:val="0"/>
        <w:keepLines w:val="0"/>
        <w:pageBreakBefore w:val="0"/>
        <w:numPr>
          <w:ilvl w:val="0"/>
          <w:numId w:val="0"/>
        </w:numPr>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必须严格按照《广东省新冠肺炎防控指挥办医疗救治组关于印发广东省医疗机构恢复日常诊疗服务防控新冠肺炎工作指引的通知》（粤卫医函〔2020〕42号）落实恢复日常诊疗服务前“七个一”准备工作（即成立一个防控专项工作组、盘点一次防护物资储备、落实一项健康确认工作、开展至少一次全员培训、组织至少一次应急演练、建立一支感控督导员队伍、进行一次综合评估），严格把好患者进入医院前、门急诊、新入院、院内术前“四道关口”，强化医务人员、工勤人员、院外人员等三类人员管理，按照“四早”“四集中”原则及时处置发现的确诊或疑似病例,确保做好疫情防控工作。</w:t>
      </w:r>
    </w:p>
    <w:p>
      <w:pPr>
        <w:keepNext w:val="0"/>
        <w:keepLines w:val="0"/>
        <w:pageBreakBefore w:val="0"/>
        <w:numPr>
          <w:ilvl w:val="0"/>
          <w:numId w:val="0"/>
        </w:numPr>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独立的血液透析中心应特别重视透析患者的预检分诊，对有可疑症状或有流行病学史患者要指引到有发热门诊的医疗机构进行新冠病毒核酸筛查，有必要时行胸部CT筛查。</w:t>
      </w:r>
    </w:p>
    <w:p>
      <w:pPr>
        <w:spacing w:beforeLines="0" w:afterLines="0" w:line="560" w:lineRule="exact"/>
        <w:ind w:firstLine="640" w:firstLineChars="0"/>
        <w:jc w:val="both"/>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二、加强二次分诊</w:t>
      </w:r>
    </w:p>
    <w:p>
      <w:pPr>
        <w:spacing w:beforeLines="0" w:afterLines="0" w:line="560" w:lineRule="exact"/>
        <w:ind w:firstLine="640" w:firstLineChars="0"/>
        <w:jc w:val="both"/>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血液透析室（中心）入口处设二次分诊点，所有进入透析区域人员监测体温，指导所有人员正确佩戴口罩，详细询问流行病学史。《医疗机构新型冠状病毒肺炎流行病学史问卷》可在接受透析前，由医生/护士再次详细询问相关症状及流行病学史，医患双方签字确认后交由血液透析室（中心）存档备查。</w:t>
      </w:r>
    </w:p>
    <w:p>
      <w:pPr>
        <w:spacing w:beforeLines="0" w:afterLines="0" w:line="560" w:lineRule="exact"/>
        <w:ind w:firstLine="640" w:firstLineChars="0"/>
        <w:jc w:val="both"/>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二次分诊时发现有可疑症状的患者，应专人陪送至发热门诊（本院无发热门诊的，应立即隔离等待转运）进行新冠病毒核酸检测，必要时行胸部CT筛查。</w:t>
      </w:r>
    </w:p>
    <w:p>
      <w:pPr>
        <w:spacing w:beforeLines="0" w:afterLines="0" w:line="560" w:lineRule="exact"/>
        <w:ind w:firstLine="640" w:firstLineChars="0"/>
        <w:jc w:val="both"/>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三、加强呼吸道疾病单间隔离透析专区管理</w:t>
      </w:r>
    </w:p>
    <w:p>
      <w:pPr>
        <w:keepNext w:val="0"/>
        <w:keepLines w:val="0"/>
        <w:pageBreakBefore w:val="0"/>
        <w:kinsoku/>
        <w:wordWrap/>
        <w:topLinePunct w:val="0"/>
        <w:autoSpaceDE/>
        <w:autoSpaceDN/>
        <w:bidi w:val="0"/>
        <w:spacing w:beforeLines="0" w:afterLines="0" w:line="560" w:lineRule="exact"/>
        <w:ind w:firstLine="0" w:firstLineChars="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设置呼吸道疾病单间隔离透析专区（下简称专区），专门用于接收有流行病学史或有可疑症状，但非疑似病例的透析患者。专区要安排相对固定的专职护士。</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进入专区医护人员应戴一次性工作帽、医用防护口罩、护目镜、双层手套，穿隔离衣、一次性鞋套，严格执行手卫生制度。</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建立《专区患者记录本》，至少持续追踪14天。详细登记患者的身份信息、体温数据、透析机号、责任护士信息、患者阳性症状及体征等内容。</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患者全程佩戴口罩，透析过程中应检测体温至少2次（透析前后各一次），体温≥37.3°C，立即行血常规、胸部CT及新型冠状病毒核酸等检测，以排除新型冠状病毒感染。</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专区应减少人员出入，避免可能的交叉感染。</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6</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透析结束后，专区地面及物表用2000mg/L含氯消毒液消毒。</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7</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专区空气消毒：关闭门窗，采用2000mg/L含氯消毒液或1%过氧乙酸溶液按20ml/m</w:t>
      </w:r>
      <w:r>
        <w:rPr>
          <w:rFonts w:hint="default" w:ascii="Times New Roman" w:hAnsi="Times New Roman" w:eastAsia="仿宋_GB2312" w:cs="Times New Roman"/>
          <w:snapToGrid w:val="0"/>
          <w:kern w:val="0"/>
          <w:sz w:val="32"/>
          <w:szCs w:val="32"/>
          <w:vertAlign w:val="superscript"/>
          <w:lang w:val="en-US" w:eastAsia="zh-CN"/>
        </w:rPr>
        <w:t>3</w:t>
      </w:r>
      <w:r>
        <w:rPr>
          <w:rFonts w:hint="default" w:ascii="Times New Roman" w:hAnsi="Times New Roman" w:eastAsia="仿宋_GB2312" w:cs="Times New Roman"/>
          <w:snapToGrid w:val="0"/>
          <w:kern w:val="0"/>
          <w:sz w:val="32"/>
          <w:szCs w:val="32"/>
          <w:lang w:val="en-US" w:eastAsia="zh-CN"/>
        </w:rPr>
        <w:t>喷雾消毒60分钟，再行开窗通风。也可采用紫外线照射30分钟消毒。</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8</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单间隔离透析14天后，无相关症状，且胸部CT、新冠病毒核酸等检测阴性者，转入普通透析区域治疗。</w:t>
      </w:r>
    </w:p>
    <w:p>
      <w:pPr>
        <w:spacing w:beforeLines="0" w:afterLines="0" w:line="560" w:lineRule="exact"/>
        <w:ind w:firstLine="640" w:firstLineChars="200"/>
        <w:jc w:val="both"/>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四、加强患者及陪护人员管理</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普通透析区域患者透析过程中测体温至少2次，出现发热者，行血常规、胸部CT及新型冠状病毒核酸等检测，以排除新型冠状病毒感染。</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陪护人员不得进入透析区域。</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透析患者在透析治疗过程中全程佩戴口罩。</w:t>
      </w:r>
    </w:p>
    <w:p>
      <w:pPr>
        <w:keepNext w:val="0"/>
        <w:keepLines w:val="0"/>
        <w:pageBreakBefore w:val="0"/>
        <w:kinsoku/>
        <w:wordWrap/>
        <w:topLinePunct w:val="0"/>
        <w:autoSpaceDE/>
        <w:autoSpaceDN/>
        <w:bidi w:val="0"/>
        <w:spacing w:beforeLines="0" w:afterLines="0" w:line="560" w:lineRule="exact"/>
        <w:ind w:firstLine="640" w:firstLineChars="200"/>
        <w:jc w:val="both"/>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充分利用“互联网+医疗”，为患者提供医疗咨询、随访等医疗服务，减少患者到实体医疗机构就诊。</w:t>
      </w:r>
    </w:p>
    <w:p>
      <w:pPr>
        <w:spacing w:beforeLines="0" w:afterLines="0" w:line="560" w:lineRule="exact"/>
        <w:ind w:firstLine="640" w:firstLineChars="200"/>
        <w:jc w:val="both"/>
        <w:rPr>
          <w:rFonts w:hint="default" w:ascii="Times New Roman" w:hAnsi="Times New Roman" w:cs="Times New Roman"/>
          <w:lang w:val="en-US" w:eastAsia="zh-CN"/>
        </w:rPr>
      </w:pPr>
      <w:r>
        <w:rPr>
          <w:rFonts w:hint="default" w:ascii="Times New Roman" w:hAnsi="Times New Roman" w:eastAsia="仿宋_GB2312" w:cs="Times New Roman"/>
          <w:snapToGrid w:val="0"/>
          <w:kern w:val="0"/>
          <w:sz w:val="32"/>
          <w:szCs w:val="32"/>
          <w:lang w:val="en-US" w:eastAsia="zh-CN"/>
        </w:rPr>
        <w:t>5</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设法减少患者乘坐公共交通工具的次数，如代为联系志愿者接送等。</w:t>
      </w:r>
    </w:p>
    <w:p>
      <w:pPr>
        <w:spacing w:beforeLines="0" w:afterLines="0" w:line="560" w:lineRule="exact"/>
        <w:ind w:firstLine="640" w:firstLineChars="200"/>
        <w:jc w:val="both"/>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五、强化员工管理和个人防护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color w:val="auto"/>
          <w:kern w:val="0"/>
          <w:sz w:val="32"/>
          <w:szCs w:val="32"/>
          <w:lang w:val="en-US" w:eastAsia="zh-CN"/>
        </w:rPr>
        <w:t>严格落实医务人员返岗后健康检查和健康登记工作。同时实施每天上班员工健康报告制度。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普通透析区域个人防护：一级防护措施，一次性工作帽、医用外科口罩、一次性乳胶手套、一次性鞋套，每例操作后需更换一次性乳胶手套。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深静脉插管操作需加穿一次性外科手术衣，戴护目镜。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napToGrid w:val="0"/>
          <w:kern w:val="0"/>
          <w:sz w:val="32"/>
          <w:szCs w:val="32"/>
          <w:lang w:val="en-US" w:eastAsia="zh-CN"/>
        </w:rPr>
      </w:pPr>
      <w:r>
        <w:rPr>
          <w:rFonts w:hint="default" w:ascii="Times New Roman" w:hAnsi="Times New Roman" w:eastAsia="黑体" w:cs="Times New Roman"/>
          <w:snapToGrid w:val="0"/>
          <w:kern w:val="0"/>
          <w:sz w:val="32"/>
          <w:szCs w:val="32"/>
          <w:lang w:val="en-US" w:eastAsia="zh-CN"/>
        </w:rPr>
        <w:t>六、严格清洁消毒制度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空气消毒：宜开窗通风，保持空气流通。如突发疑似新型冠状病毒感染的患者，需严格按照隔离间空气消毒进行。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每班透析结束后常规用1000mg/L含氯消毒液进行地面、物表擦拭，对污染的区域用2000mg/L含氯消毒液进行擦拭，并更换床单位用品。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被患者血液、体液、分泌物等污染物污染的医疗器械、物体、血透机表面及地面等，立即用2000mg/L含氯消毒液消毒擦拭。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default" w:ascii="Times New Roman" w:hAnsi="Times New Roman" w:eastAsia="仿宋_GB2312" w:cs="Times New Roman"/>
          <w:snapToGrid w:val="0"/>
          <w:kern w:val="0"/>
          <w:sz w:val="32"/>
          <w:szCs w:val="32"/>
          <w:lang w:val="en-US" w:eastAsia="zh-CN"/>
        </w:rPr>
        <w:t>4</w:t>
      </w:r>
      <w:r>
        <w:rPr>
          <w:rFonts w:hint="eastAsia" w:ascii="仿宋_GB2312" w:hAnsi="仿宋_GB2312" w:eastAsia="仿宋_GB2312" w:cs="仿宋_GB2312"/>
          <w:kern w:val="0"/>
          <w:sz w:val="32"/>
          <w:szCs w:val="32"/>
          <w:lang w:val="en-US" w:eastAsia="zh-CN"/>
        </w:rPr>
        <w:t>.</w:t>
      </w:r>
      <w:r>
        <w:rPr>
          <w:rFonts w:hint="default" w:ascii="Times New Roman" w:hAnsi="Times New Roman" w:eastAsia="仿宋_GB2312" w:cs="Times New Roman"/>
          <w:snapToGrid w:val="0"/>
          <w:kern w:val="0"/>
          <w:sz w:val="32"/>
          <w:szCs w:val="32"/>
          <w:lang w:val="en-US" w:eastAsia="zh-CN"/>
        </w:rPr>
        <w:t>分诊台每日用1000mg/L含氯消毒液擦拭至少四次。</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A392"/>
    <w:multiLevelType w:val="singleLevel"/>
    <w:tmpl w:val="5E58A39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5B4D"/>
    <w:rsid w:val="223B789B"/>
    <w:rsid w:val="41FF5B4D"/>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2020-03-09T07:28:00Z</dcterms:created>
  <dc:creator>华</dc:creator>
  <cp:lastModifiedBy>华</cp:lastModifiedBy>
  <dcterms:modified xsi:type="dcterms:W3CDTF">2020-03-09T07:29:17Z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