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autoSpaceDE w:val="0"/>
        <w:autoSpaceDN/>
        <w:spacing w:before="0" w:beforeLines="0" w:beforeAutospacing="0" w:after="0" w:afterLines="0" w:afterAutospacing="0" w:line="540" w:lineRule="exact"/>
        <w:ind w:left="0" w:leftChars="0" w:right="0" w:rightChars="0"/>
        <w:jc w:val="both"/>
        <w:textAlignment w:val="baseline"/>
        <w:rPr>
          <w:rFonts w:hint="eastAsia" w:ascii="黑体" w:hAnsi="宋体" w:eastAsia="黑体" w:cs="黑体"/>
          <w:color w:val="000000"/>
          <w:kern w:val="0"/>
          <w:sz w:val="32"/>
          <w:szCs w:val="32"/>
          <w:vertAlign w:val="baseline"/>
        </w:rPr>
      </w:pPr>
      <w:r>
        <w:rPr>
          <w:rFonts w:hint="eastAsia" w:ascii="黑体" w:hAnsi="宋体" w:eastAsia="黑体" w:cs="黑体"/>
          <w:color w:val="000000"/>
          <w:kern w:val="0"/>
          <w:sz w:val="32"/>
          <w:szCs w:val="32"/>
          <w:vertAlign w:val="baseline"/>
          <w:lang w:val="en-US" w:eastAsia="zh-CN" w:bidi="ar"/>
        </w:rPr>
        <w:t>附件</w:t>
      </w:r>
    </w:p>
    <w:p>
      <w:pPr>
        <w:pStyle w:val="4"/>
        <w:keepNext w:val="0"/>
        <w:keepLines w:val="0"/>
        <w:widowControl/>
        <w:suppressLineNumbers w:val="0"/>
        <w:autoSpaceDE w:val="0"/>
        <w:autoSpaceDN/>
        <w:spacing w:before="100" w:beforeAutospacing="1" w:after="0" w:afterAutospacing="0" w:line="540" w:lineRule="exact"/>
        <w:ind w:left="0" w:leftChars="0" w:right="0" w:rightChars="0"/>
        <w:jc w:val="center"/>
        <w:rPr>
          <w:rFonts w:hint="eastAsia" w:ascii="方正小标宋简体" w:hAnsi="方正小标宋简体" w:eastAsia="方正小标宋简体" w:cs="方正小标宋简体"/>
          <w:b w:val="0"/>
          <w:kern w:val="0"/>
          <w:sz w:val="44"/>
          <w:szCs w:val="44"/>
        </w:rPr>
      </w:pPr>
      <w:r>
        <w:rPr>
          <w:rFonts w:hint="eastAsia" w:ascii="方正小标宋简体" w:hAnsi="方正小标宋简体" w:eastAsia="方正小标宋简体" w:cs="方正小标宋简体"/>
          <w:b w:val="0"/>
          <w:kern w:val="0"/>
          <w:sz w:val="44"/>
          <w:szCs w:val="44"/>
          <w:lang w:val="en-US" w:eastAsia="zh-CN" w:bidi="ar"/>
        </w:rPr>
        <w:t>清明祭扫期间新冠肺炎疫情应急预案</w:t>
      </w:r>
    </w:p>
    <w:p>
      <w:pPr>
        <w:pStyle w:val="4"/>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黑体" w:cs="Times New Roman"/>
          <w:color w:val="000000"/>
          <w:kern w:val="0"/>
          <w:sz w:val="32"/>
          <w:szCs w:val="32"/>
          <w:vertAlign w:val="baseline"/>
        </w:rPr>
      </w:pPr>
      <w:r>
        <w:rPr>
          <w:rFonts w:hint="default" w:ascii="Times New Roman" w:hAnsi="Times New Roman" w:eastAsia="黑体" w:cs="Times New Roman"/>
          <w:color w:val="000000"/>
          <w:kern w:val="0"/>
          <w:sz w:val="32"/>
          <w:szCs w:val="32"/>
          <w:vertAlign w:val="baseline"/>
          <w:lang w:val="en-US" w:eastAsia="zh-CN" w:bidi="ar"/>
        </w:rPr>
        <w:t xml:space="preserve"> </w:t>
      </w:r>
    </w:p>
    <w:p>
      <w:pPr>
        <w:pStyle w:val="4"/>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default" w:ascii="Times New Roman" w:hAnsi="Times New Roman" w:eastAsia="黑体" w:cs="Times New Roman"/>
          <w:color w:val="000000"/>
          <w:kern w:val="0"/>
          <w:sz w:val="32"/>
          <w:szCs w:val="32"/>
          <w:vertAlign w:val="baseline"/>
        </w:rPr>
      </w:pPr>
      <w:r>
        <w:rPr>
          <w:rFonts w:hint="eastAsia" w:ascii="黑体" w:hAnsi="宋体" w:eastAsia="黑体" w:cs="黑体"/>
          <w:color w:val="000000"/>
          <w:kern w:val="0"/>
          <w:sz w:val="32"/>
          <w:szCs w:val="32"/>
          <w:vertAlign w:val="baseline"/>
          <w:lang w:val="en-US" w:eastAsia="zh-CN" w:bidi="ar"/>
        </w:rPr>
        <w:t>一、启动工作机制</w:t>
      </w:r>
      <w:r>
        <w:rPr>
          <w:rFonts w:hint="default" w:ascii="Times New Roman" w:hAnsi="Times New Roman" w:eastAsia="黑体" w:cs="Times New Roman"/>
          <w:color w:val="000000"/>
          <w:kern w:val="0"/>
          <w:sz w:val="32"/>
          <w:szCs w:val="32"/>
          <w:vertAlign w:val="baseline"/>
          <w:lang w:val="en-US" w:eastAsia="zh-CN" w:bidi="ar"/>
        </w:rPr>
        <w:t xml:space="preserve"> </w:t>
      </w:r>
    </w:p>
    <w:p>
      <w:pPr>
        <w:pStyle w:val="4"/>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textAlignment w:val="baseline"/>
        <w:rPr>
          <w:rFonts w:hint="eastAsia" w:ascii="仿宋_GB2312" w:hAnsi="Times New Roman" w:eastAsia="仿宋_GB2312" w:cs="仿宋_GB2312"/>
          <w:color w:val="000000"/>
          <w:kern w:val="0"/>
          <w:sz w:val="32"/>
          <w:szCs w:val="32"/>
          <w:vertAlign w:val="baseline"/>
        </w:rPr>
      </w:pPr>
      <w:r>
        <w:rPr>
          <w:rFonts w:hint="eastAsia" w:ascii="仿宋_GB2312" w:hAnsi="Times New Roman" w:eastAsia="仿宋_GB2312" w:cs="仿宋_GB2312"/>
          <w:color w:val="000000"/>
          <w:kern w:val="0"/>
          <w:sz w:val="32"/>
          <w:szCs w:val="32"/>
          <w:vertAlign w:val="baseline"/>
          <w:lang w:val="en-US" w:eastAsia="zh-CN" w:bidi="ar"/>
        </w:rPr>
        <w:t>出现确诊病例、疑似病例和无症状感染者时，要启动工作机制，建立应急处置专班，明确应急处置责任人，立即向区域应急处置小组</w:t>
      </w:r>
      <w:r>
        <w:rPr>
          <w:rFonts w:hint="eastAsia" w:ascii="仿宋_GB2312" w:hAnsi="宋体" w:eastAsia="仿宋_GB2312" w:cs="仿宋_GB2312"/>
          <w:color w:val="000000"/>
          <w:kern w:val="0"/>
          <w:sz w:val="32"/>
          <w:szCs w:val="32"/>
          <w:vertAlign w:val="baseline"/>
          <w:lang w:val="en-US" w:eastAsia="zh-CN" w:bidi="ar"/>
        </w:rPr>
        <w:t>（卫生健康部门）</w:t>
      </w:r>
      <w:r>
        <w:rPr>
          <w:rFonts w:hint="eastAsia" w:ascii="仿宋_GB2312" w:hAnsi="Times New Roman" w:eastAsia="仿宋_GB2312" w:cs="仿宋_GB2312"/>
          <w:color w:val="000000"/>
          <w:kern w:val="0"/>
          <w:sz w:val="32"/>
          <w:szCs w:val="32"/>
          <w:vertAlign w:val="baseline"/>
          <w:lang w:val="en-US" w:eastAsia="zh-CN" w:bidi="ar"/>
        </w:rPr>
        <w:t>报告，积极配合病例转运消毒、隔离、后勤保障等疫情处置工作。</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黑体" w:cs="宋体"/>
          <w:b/>
          <w:color w:val="000000"/>
          <w:kern w:val="0"/>
          <w:sz w:val="32"/>
          <w:szCs w:val="32"/>
          <w:vertAlign w:val="baseline"/>
        </w:rPr>
      </w:pPr>
      <w:r>
        <w:rPr>
          <w:rFonts w:hint="eastAsia" w:ascii="黑体" w:hAnsi="宋体" w:eastAsia="黑体" w:cs="黑体"/>
          <w:color w:val="000000"/>
          <w:kern w:val="0"/>
          <w:sz w:val="32"/>
          <w:szCs w:val="32"/>
          <w:vertAlign w:val="baseline"/>
          <w:lang w:val="en-US" w:eastAsia="zh-CN" w:bidi="ar"/>
        </w:rPr>
        <w:t>二、实施应急处置措施</w:t>
      </w:r>
      <w:r>
        <w:rPr>
          <w:rFonts w:hint="default" w:ascii="Times New Roman" w:hAnsi="Times New Roman" w:eastAsia="黑体" w:cs="宋体"/>
          <w:b/>
          <w:color w:val="000000"/>
          <w:kern w:val="0"/>
          <w:sz w:val="32"/>
          <w:szCs w:val="32"/>
          <w:vertAlign w:val="baseline"/>
          <w:lang w:val="en-US" w:eastAsia="zh-CN" w:bidi="ar"/>
        </w:rPr>
        <w:t xml:space="preserve"> </w:t>
      </w:r>
    </w:p>
    <w:p>
      <w:pPr>
        <w:pStyle w:val="4"/>
        <w:keepNext w:val="0"/>
        <w:keepLines w:val="0"/>
        <w:widowControl/>
        <w:suppressLineNumbers w:val="0"/>
        <w:tabs>
          <w:tab w:val="center" w:pos="4422"/>
        </w:tabs>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楷体_GB2312" w:cs="宋体"/>
          <w:color w:val="000000"/>
          <w:kern w:val="0"/>
          <w:sz w:val="32"/>
          <w:szCs w:val="32"/>
          <w:vertAlign w:val="baseline"/>
        </w:rPr>
      </w:pPr>
      <w:r>
        <w:rPr>
          <w:rFonts w:hint="eastAsia" w:ascii="楷体_GB2312" w:hAnsi="Times New Roman" w:eastAsia="楷体_GB2312" w:cs="楷体_GB2312"/>
          <w:color w:val="000000"/>
          <w:kern w:val="0"/>
          <w:sz w:val="32"/>
          <w:szCs w:val="32"/>
          <w:vertAlign w:val="baseline"/>
          <w:lang w:val="en-US" w:eastAsia="zh-CN" w:bidi="ar"/>
        </w:rPr>
        <w:t>（一）散发病例。</w:t>
      </w:r>
      <w:r>
        <w:rPr>
          <w:rFonts w:hint="eastAsia" w:ascii="楷体_GB2312" w:hAnsi="Times New Roman" w:eastAsia="楷体_GB2312" w:cs="楷体_GB2312"/>
          <w:color w:val="000000"/>
          <w:kern w:val="0"/>
          <w:sz w:val="32"/>
          <w:szCs w:val="32"/>
          <w:vertAlign w:val="baseline"/>
          <w:lang w:val="en-US" w:eastAsia="zh-CN" w:bidi="ar"/>
        </w:rPr>
        <w:tab/>
      </w:r>
      <w:bookmarkStart w:id="0" w:name="_GoBack"/>
      <w:bookmarkEnd w:id="0"/>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default" w:ascii="Times New Roman" w:hAnsi="Times New Roman" w:eastAsia="仿宋_GB2312" w:cs="宋体"/>
          <w:color w:val="000000"/>
          <w:kern w:val="0"/>
          <w:sz w:val="32"/>
          <w:szCs w:val="32"/>
          <w:vertAlign w:val="baseline"/>
          <w:lang w:val="en-US" w:eastAsia="zh-CN" w:bidi="ar"/>
        </w:rPr>
        <w:t>1</w:t>
      </w:r>
      <w:r>
        <w:rPr>
          <w:rFonts w:hint="eastAsia" w:ascii="仿宋_GB2312" w:hAnsi="宋体" w:eastAsia="仿宋_GB2312" w:cs="仿宋_GB2312"/>
          <w:color w:val="000000"/>
          <w:kern w:val="0"/>
          <w:sz w:val="32"/>
          <w:szCs w:val="32"/>
          <w:vertAlign w:val="baseline"/>
          <w:lang w:val="en-US" w:eastAsia="zh-CN" w:bidi="ar"/>
        </w:rPr>
        <w:t>.</w:t>
      </w:r>
      <w:r>
        <w:rPr>
          <w:rFonts w:hint="eastAsia" w:ascii="仿宋_GB2312" w:hAnsi="Times New Roman" w:eastAsia="仿宋_GB2312" w:cs="仿宋_GB2312"/>
          <w:color w:val="000000"/>
          <w:kern w:val="0"/>
          <w:sz w:val="32"/>
          <w:szCs w:val="32"/>
          <w:vertAlign w:val="baseline"/>
          <w:lang w:val="en-US" w:eastAsia="zh-CN" w:bidi="ar"/>
        </w:rPr>
        <w:t>发现可疑病例时，应立即引导病例到临时医学观察点或单独隔离观察间进行留观，联系机构所在社区（村居）的社区卫生服务中心（乡镇卫生院）等医疗机构初步排查后，送辖区定点医院诊治，确诊后立即报告当地疾控</w:t>
      </w:r>
      <w:r>
        <w:rPr>
          <w:rFonts w:hint="eastAsia" w:ascii="仿宋_GB2312" w:hAnsi="宋体" w:eastAsia="仿宋_GB2312" w:cs="仿宋_GB2312"/>
          <w:color w:val="000000"/>
          <w:kern w:val="0"/>
          <w:sz w:val="32"/>
          <w:szCs w:val="32"/>
          <w:vertAlign w:val="baseline"/>
          <w:lang w:val="en-US" w:eastAsia="zh-CN" w:bidi="ar"/>
        </w:rPr>
        <w:t>机构</w:t>
      </w:r>
      <w:r>
        <w:rPr>
          <w:rFonts w:hint="eastAsia" w:ascii="仿宋_GB2312" w:hAnsi="Times New Roman" w:eastAsia="仿宋_GB2312" w:cs="仿宋_GB2312"/>
          <w:color w:val="000000"/>
          <w:kern w:val="0"/>
          <w:sz w:val="32"/>
          <w:szCs w:val="32"/>
          <w:vertAlign w:val="baseline"/>
          <w:lang w:val="en-US" w:eastAsia="zh-CN" w:bidi="ar"/>
        </w:rPr>
        <w:t>。</w:t>
      </w:r>
    </w:p>
    <w:p>
      <w:pPr>
        <w:pStyle w:val="4"/>
        <w:keepNext w:val="0"/>
        <w:keepLines w:val="0"/>
        <w:widowControl/>
        <w:numPr>
          <w:ilvl w:val="0"/>
          <w:numId w:val="1"/>
        </w:numPr>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eastAsia" w:ascii="仿宋_GB2312" w:hAnsi="Times New Roman" w:eastAsia="仿宋_GB2312" w:cs="仿宋_GB2312"/>
          <w:color w:val="000000"/>
          <w:kern w:val="0"/>
          <w:sz w:val="32"/>
          <w:szCs w:val="32"/>
          <w:vertAlign w:val="baseline"/>
          <w:lang w:val="en-US" w:eastAsia="zh-CN"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干咳等疑似新冠肺炎症状时要及时送定点医院排查、诊治。</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eastAsia" w:ascii="仿宋_GB2312" w:hAnsi="Times New Roman" w:eastAsia="仿宋_GB2312" w:cs="仿宋_GB2312"/>
          <w:color w:val="000000"/>
          <w:kern w:val="0"/>
          <w:sz w:val="32"/>
          <w:szCs w:val="32"/>
          <w:vertAlign w:val="baseline"/>
          <w:lang w:val="en-US" w:eastAsia="zh-CN" w:bidi="ar"/>
        </w:rPr>
        <w:t>除密切接触者外，与病例曾接触过但不符合密切接触者判定原则的人员，判定为一般接触者。对一般接触者要做好登记，并进行健康风险告知，嘱咐其一旦出现发热、干咳等疑似新冠肺炎症状时要及时告知健康管理员，并主动告知近期活动史，做好体温检测，佩戴口罩。</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eastAsia" w:ascii="仿宋_GB2312" w:hAnsi="Times New Roman" w:eastAsia="仿宋_GB2312" w:cs="仿宋_GB2312"/>
          <w:color w:val="000000"/>
          <w:kern w:val="0"/>
          <w:sz w:val="32"/>
          <w:szCs w:val="32"/>
          <w:vertAlign w:val="baseline"/>
          <w:lang w:val="en-US" w:eastAsia="zh-CN" w:bidi="ar"/>
        </w:rPr>
        <w:t>所有配合疾控机构开展流行病学调查的人员，应做好个人防护，佩戴医用外科口罩等。</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eastAsia" w:ascii="仿宋_GB2312" w:hAnsi="宋体" w:eastAsia="仿宋_GB2312" w:cs="仿宋_GB2312"/>
          <w:color w:val="000000"/>
          <w:kern w:val="0"/>
          <w:sz w:val="32"/>
          <w:szCs w:val="32"/>
          <w:vertAlign w:val="baseline"/>
        </w:rPr>
      </w:pPr>
      <w:r>
        <w:rPr>
          <w:rFonts w:hint="default" w:ascii="Times New Roman" w:hAnsi="Times New Roman" w:eastAsia="仿宋_GB2312" w:cs="宋体"/>
          <w:color w:val="000000"/>
          <w:kern w:val="0"/>
          <w:sz w:val="32"/>
          <w:szCs w:val="32"/>
          <w:vertAlign w:val="baseline"/>
          <w:lang w:val="en-US" w:eastAsia="zh-CN" w:bidi="ar"/>
        </w:rPr>
        <w:t>3</w:t>
      </w:r>
      <w:r>
        <w:rPr>
          <w:rFonts w:hint="eastAsia" w:ascii="仿宋_GB2312" w:hAnsi="宋体" w:eastAsia="仿宋_GB2312" w:cs="仿宋_GB2312"/>
          <w:color w:val="000000"/>
          <w:kern w:val="0"/>
          <w:sz w:val="32"/>
          <w:szCs w:val="32"/>
          <w:vertAlign w:val="baseline"/>
          <w:lang w:val="en-US" w:eastAsia="zh-CN" w:bidi="ar"/>
        </w:rPr>
        <w:t>.</w:t>
      </w:r>
      <w:r>
        <w:rPr>
          <w:rFonts w:hint="eastAsia" w:ascii="仿宋_GB2312" w:hAnsi="Times New Roman" w:eastAsia="仿宋_GB2312" w:cs="仿宋_GB2312"/>
          <w:color w:val="000000"/>
          <w:kern w:val="0"/>
          <w:sz w:val="32"/>
          <w:szCs w:val="32"/>
          <w:vertAlign w:val="baseline"/>
          <w:lang w:val="en-US" w:eastAsia="zh-CN" w:bidi="ar"/>
        </w:rPr>
        <w:t>在疾控机构的指导下，按国家和省的消毒指引，做好殡葬服务机构病例相关活动区域的清洁、随时消毒和终末消毒工作。</w:t>
      </w:r>
      <w:r>
        <w:rPr>
          <w:rFonts w:hint="eastAsia" w:ascii="仿宋_GB2312" w:hAnsi="宋体" w:eastAsia="仿宋_GB2312" w:cs="仿宋_GB2312"/>
          <w:color w:val="000000"/>
          <w:kern w:val="0"/>
          <w:sz w:val="32"/>
          <w:szCs w:val="32"/>
          <w:vertAlign w:val="baseline"/>
          <w:lang w:val="en-US" w:eastAsia="zh-CN" w:bidi="ar"/>
        </w:rPr>
        <w:t>做好其他区域的保洁和消毒防疫工作；加强场所的通风换气和空调等公共设施及公共用具的消毒，每日对</w:t>
      </w:r>
      <w:r>
        <w:rPr>
          <w:rFonts w:hint="eastAsia" w:ascii="仿宋_GB2312" w:hAnsi="Times New Roman" w:eastAsia="仿宋_GB2312" w:cs="仿宋_GB2312"/>
          <w:b w:val="0"/>
          <w:i w:val="0"/>
          <w:kern w:val="2"/>
          <w:sz w:val="32"/>
          <w:szCs w:val="32"/>
          <w:vertAlign w:val="baseline"/>
          <w:lang w:val="en-US" w:eastAsia="zh-CN" w:bidi="ar"/>
        </w:rPr>
        <w:t>机构内办公区域、群众接待室、业务办理室、室内祭拜场所、遗体运输车辆、遗体存放场所、火化车间、员工食堂、公共卫生间、垃圾厢房、隔离区域</w:t>
      </w:r>
      <w:r>
        <w:rPr>
          <w:rFonts w:hint="eastAsia" w:ascii="仿宋_GB2312" w:hAnsi="宋体" w:eastAsia="仿宋_GB2312" w:cs="仿宋_GB2312"/>
          <w:color w:val="000000"/>
          <w:kern w:val="0"/>
          <w:sz w:val="32"/>
          <w:szCs w:val="32"/>
          <w:vertAlign w:val="baseline"/>
          <w:lang w:val="en-US" w:eastAsia="zh-CN" w:bidi="ar"/>
        </w:rPr>
        <w:t>等重点场所进行消毒；各场所和食堂入口要配备含酒精成分的手消毒液，厕所配备洗手液，指导工作人员及服务对象在机构内做好手卫生。</w:t>
      </w:r>
    </w:p>
    <w:p>
      <w:pPr>
        <w:pStyle w:val="4"/>
        <w:keepNext w:val="0"/>
        <w:keepLines w:val="0"/>
        <w:widowControl/>
        <w:numPr>
          <w:ilvl w:val="0"/>
          <w:numId w:val="2"/>
        </w:numPr>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eastAsia" w:ascii="仿宋_GB2312" w:hAnsi="Times New Roman" w:eastAsia="仿宋_GB2312" w:cs="仿宋_GB2312"/>
          <w:color w:val="000000"/>
          <w:kern w:val="0"/>
          <w:sz w:val="32"/>
          <w:szCs w:val="32"/>
          <w:vertAlign w:val="baseline"/>
          <w:lang w:val="en-US" w:eastAsia="zh-CN" w:bidi="ar"/>
        </w:rPr>
        <w:t>按照卫生健康部门的建议，根据疫情防控需要启动封闭式管理，因地制宜采取相关楼栋封锁等措施，严格限制人员进出，严格控制外来人员、车辆进入。</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default" w:ascii="Times New Roman" w:hAnsi="Times New Roman" w:eastAsia="仿宋_GB2312" w:cs="宋体"/>
          <w:color w:val="000000"/>
          <w:kern w:val="0"/>
          <w:sz w:val="32"/>
          <w:szCs w:val="32"/>
          <w:vertAlign w:val="baseline"/>
          <w:lang w:val="en-US" w:eastAsia="zh-CN" w:bidi="ar"/>
        </w:rPr>
        <w:t>5</w:t>
      </w:r>
      <w:r>
        <w:rPr>
          <w:rFonts w:hint="eastAsia" w:ascii="仿宋_GB2312" w:hAnsi="宋体" w:eastAsia="仿宋_GB2312" w:cs="仿宋_GB2312"/>
          <w:color w:val="000000"/>
          <w:kern w:val="0"/>
          <w:sz w:val="32"/>
          <w:szCs w:val="32"/>
          <w:vertAlign w:val="baseline"/>
          <w:lang w:val="en-US" w:eastAsia="zh-CN" w:bidi="ar"/>
        </w:rPr>
        <w:t>.</w:t>
      </w:r>
      <w:r>
        <w:rPr>
          <w:rFonts w:hint="eastAsia" w:ascii="仿宋_GB2312" w:hAnsi="Times New Roman" w:eastAsia="仿宋_GB2312" w:cs="仿宋_GB2312"/>
          <w:color w:val="000000"/>
          <w:kern w:val="0"/>
          <w:sz w:val="32"/>
          <w:szCs w:val="32"/>
          <w:vertAlign w:val="baseline"/>
          <w:lang w:val="en-US" w:eastAsia="zh-CN" w:bidi="ar"/>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default" w:ascii="Times New Roman" w:hAnsi="Times New Roman" w:eastAsia="仿宋_GB2312" w:cs="宋体"/>
          <w:color w:val="000000"/>
          <w:kern w:val="0"/>
          <w:sz w:val="32"/>
          <w:szCs w:val="32"/>
          <w:vertAlign w:val="baseline"/>
          <w:lang w:val="en-US" w:eastAsia="zh-CN" w:bidi="ar"/>
        </w:rPr>
        <w:t>6</w:t>
      </w:r>
      <w:r>
        <w:rPr>
          <w:rFonts w:hint="eastAsia" w:ascii="仿宋_GB2312" w:hAnsi="宋体" w:eastAsia="仿宋_GB2312" w:cs="仿宋_GB2312"/>
          <w:color w:val="000000"/>
          <w:kern w:val="0"/>
          <w:sz w:val="32"/>
          <w:szCs w:val="32"/>
          <w:vertAlign w:val="baseline"/>
          <w:lang w:val="en-US" w:eastAsia="zh-CN" w:bidi="ar"/>
        </w:rPr>
        <w:t>.</w:t>
      </w:r>
      <w:r>
        <w:rPr>
          <w:rFonts w:hint="eastAsia" w:ascii="仿宋_GB2312" w:hAnsi="Times New Roman" w:eastAsia="仿宋_GB2312" w:cs="仿宋_GB2312"/>
          <w:color w:val="000000"/>
          <w:kern w:val="0"/>
          <w:sz w:val="32"/>
          <w:szCs w:val="32"/>
          <w:vertAlign w:val="baseline"/>
          <w:lang w:val="en-US" w:eastAsia="zh-CN" w:bidi="ar"/>
        </w:rPr>
        <w:t>本机构相关工作人员要协助当地疾控机构开展流行病学调查、采样、密切接触者筛查等工作。继续做好机构职工的健康监测工作，配合卫生健康部门做好集中隔离医学观察人员的健康监测工作。每天保持与单位主要负责人、</w:t>
      </w:r>
      <w:r>
        <w:rPr>
          <w:rFonts w:hint="eastAsia" w:ascii="仿宋_GB2312" w:hAnsi="宋体" w:eastAsia="仿宋_GB2312" w:cs="仿宋_GB2312"/>
          <w:color w:val="000000"/>
          <w:kern w:val="0"/>
          <w:sz w:val="32"/>
          <w:szCs w:val="32"/>
          <w:vertAlign w:val="baseline"/>
          <w:lang w:val="en-US" w:eastAsia="zh-CN" w:bidi="ar"/>
        </w:rPr>
        <w:t>疾控机构</w:t>
      </w:r>
      <w:r>
        <w:rPr>
          <w:rFonts w:hint="eastAsia" w:ascii="仿宋_GB2312" w:hAnsi="Times New Roman" w:eastAsia="仿宋_GB2312" w:cs="仿宋_GB2312"/>
          <w:color w:val="000000"/>
          <w:kern w:val="0"/>
          <w:sz w:val="32"/>
          <w:szCs w:val="32"/>
          <w:vertAlign w:val="baseline"/>
          <w:lang w:val="en-US" w:eastAsia="zh-CN" w:bidi="ar"/>
        </w:rPr>
        <w:t>进行信息沟通，及时上报最新情况。</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default" w:ascii="Times New Roman" w:hAnsi="Times New Roman" w:eastAsia="仿宋_GB2312" w:cs="宋体"/>
          <w:color w:val="000000"/>
          <w:kern w:val="0"/>
          <w:sz w:val="32"/>
          <w:szCs w:val="32"/>
          <w:vertAlign w:val="baseline"/>
          <w:lang w:val="en-US" w:eastAsia="zh-CN" w:bidi="ar"/>
        </w:rPr>
        <w:t>7</w:t>
      </w:r>
      <w:r>
        <w:rPr>
          <w:rFonts w:hint="eastAsia" w:ascii="仿宋_GB2312" w:hAnsi="宋体" w:eastAsia="仿宋_GB2312" w:cs="仿宋_GB2312"/>
          <w:color w:val="000000"/>
          <w:kern w:val="0"/>
          <w:sz w:val="32"/>
          <w:szCs w:val="32"/>
          <w:vertAlign w:val="baseline"/>
          <w:lang w:val="en-US" w:eastAsia="zh-CN" w:bidi="ar"/>
        </w:rPr>
        <w:t>.</w:t>
      </w:r>
      <w:r>
        <w:rPr>
          <w:rFonts w:hint="eastAsia" w:ascii="仿宋_GB2312" w:hAnsi="Times New Roman" w:eastAsia="仿宋_GB2312" w:cs="仿宋_GB2312"/>
          <w:color w:val="000000"/>
          <w:kern w:val="0"/>
          <w:sz w:val="32"/>
          <w:szCs w:val="32"/>
          <w:vertAlign w:val="baseline"/>
          <w:lang w:val="en-US" w:eastAsia="zh-CN" w:bidi="ar"/>
        </w:rPr>
        <w:t>做好宣传和员工心理疏导工作。疫情期间要做好舆情监测、心理健康引导和健康教育等工作。通过各种渠道宣传</w:t>
      </w:r>
      <w:r>
        <w:rPr>
          <w:rFonts w:hint="eastAsia" w:ascii="仿宋_GB2312" w:hAnsi="宋体" w:eastAsia="仿宋_GB2312" w:cs="仿宋_GB2312"/>
          <w:color w:val="000000"/>
          <w:kern w:val="0"/>
          <w:sz w:val="32"/>
          <w:szCs w:val="32"/>
          <w:vertAlign w:val="baseline"/>
          <w:lang w:val="en-US" w:eastAsia="zh-CN" w:bidi="ar"/>
        </w:rPr>
        <w:t>新冠肺炎防控</w:t>
      </w:r>
      <w:r>
        <w:rPr>
          <w:rFonts w:hint="eastAsia" w:ascii="仿宋_GB2312" w:hAnsi="Times New Roman" w:eastAsia="仿宋_GB2312" w:cs="仿宋_GB2312"/>
          <w:color w:val="000000"/>
          <w:kern w:val="0"/>
          <w:sz w:val="32"/>
          <w:szCs w:val="32"/>
          <w:vertAlign w:val="baseline"/>
          <w:lang w:val="en-US" w:eastAsia="zh-CN" w:bidi="ar"/>
        </w:rPr>
        <w:t>知识。根据确诊病例、疑似病例和密切接触人员等不同群体的实际情况，有针对性的开展心理支持和危机干预工作，稳定</w:t>
      </w:r>
      <w:r>
        <w:rPr>
          <w:rFonts w:hint="eastAsia" w:ascii="仿宋_GB2312" w:hAnsi="宋体" w:eastAsia="仿宋_GB2312" w:cs="仿宋_GB2312"/>
          <w:color w:val="000000"/>
          <w:kern w:val="0"/>
          <w:sz w:val="32"/>
          <w:szCs w:val="32"/>
          <w:vertAlign w:val="baseline"/>
          <w:lang w:val="en-US" w:eastAsia="zh-CN" w:bidi="ar"/>
        </w:rPr>
        <w:t>员工的</w:t>
      </w:r>
      <w:r>
        <w:rPr>
          <w:rFonts w:hint="eastAsia" w:ascii="仿宋_GB2312" w:hAnsi="Times New Roman" w:eastAsia="仿宋_GB2312" w:cs="仿宋_GB2312"/>
          <w:color w:val="000000"/>
          <w:kern w:val="0"/>
          <w:sz w:val="32"/>
          <w:szCs w:val="32"/>
          <w:vertAlign w:val="baseline"/>
          <w:lang w:val="en-US" w:eastAsia="zh-CN" w:bidi="ar"/>
        </w:rPr>
        <w:t>情绪，避免过度恐慌。</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hAnsi="Times New Roman" w:eastAsia="仿宋_GB2312" w:cs="仿宋_GB2312"/>
          <w:color w:val="000000"/>
          <w:kern w:val="2"/>
          <w:sz w:val="32"/>
          <w:szCs w:val="32"/>
        </w:rPr>
      </w:pPr>
      <w:r>
        <w:rPr>
          <w:rFonts w:hint="eastAsia" w:ascii="楷体_GB2312" w:hAnsi="Times New Roman" w:eastAsia="楷体_GB2312" w:cs="楷体_GB2312"/>
          <w:color w:val="000000"/>
          <w:kern w:val="2"/>
          <w:sz w:val="32"/>
          <w:szCs w:val="32"/>
          <w:lang w:val="en-US" w:eastAsia="zh-CN" w:bidi="ar"/>
        </w:rPr>
        <w:t>（二）聚集和暴发性疫情。</w:t>
      </w:r>
      <w:r>
        <w:rPr>
          <w:rFonts w:hint="eastAsia" w:ascii="仿宋_GB2312" w:hAnsi="Times New Roman" w:eastAsia="仿宋_GB2312" w:cs="仿宋_GB2312"/>
          <w:color w:val="000000"/>
          <w:kern w:val="2"/>
          <w:sz w:val="32"/>
          <w:szCs w:val="32"/>
          <w:lang w:val="en-US" w:eastAsia="zh-CN" w:bidi="ar"/>
        </w:rPr>
        <w:t>应立即报告当地疾控机构，由疫情防控专家评估后采取相应管控措施。对流行病学调查发现关联的聚集性疫情的</w:t>
      </w:r>
      <w:r>
        <w:rPr>
          <w:rFonts w:hint="eastAsia" w:ascii="仿宋_GB2312" w:hAnsi="Times New Roman" w:eastAsia="仿宋_GB2312" w:cs="仿宋_GB2312"/>
          <w:b w:val="0"/>
          <w:i w:val="0"/>
          <w:kern w:val="0"/>
          <w:sz w:val="32"/>
          <w:szCs w:val="32"/>
          <w:lang w:val="en-US" w:eastAsia="zh-CN" w:bidi="ar"/>
        </w:rPr>
        <w:t>殡葬服务机构</w:t>
      </w:r>
      <w:r>
        <w:rPr>
          <w:rFonts w:hint="eastAsia" w:ascii="仿宋_GB2312" w:hAnsi="Times New Roman" w:eastAsia="仿宋_GB2312" w:cs="仿宋_GB2312"/>
          <w:color w:val="000000"/>
          <w:kern w:val="2"/>
          <w:sz w:val="32"/>
          <w:szCs w:val="32"/>
          <w:lang w:val="en-US" w:eastAsia="zh-CN" w:bidi="ar"/>
        </w:rPr>
        <w:t>实施硬隔离，全面消毒清洁。</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eastAsia" w:ascii="黑体" w:hAnsi="宋体" w:eastAsia="黑体" w:cs="黑体"/>
          <w:color w:val="000000"/>
          <w:kern w:val="0"/>
          <w:sz w:val="32"/>
          <w:szCs w:val="32"/>
          <w:vertAlign w:val="baseline"/>
          <w:lang w:val="en-US" w:eastAsia="zh-CN" w:bidi="ar"/>
        </w:rPr>
        <w:t>三、预案终止</w:t>
      </w:r>
      <w:r>
        <w:rPr>
          <w:rFonts w:hint="default" w:ascii="Times New Roman" w:hAnsi="Times New Roman" w:eastAsia="仿宋_GB2312" w:cs="宋体"/>
          <w:color w:val="000000"/>
          <w:kern w:val="0"/>
          <w:sz w:val="32"/>
          <w:szCs w:val="32"/>
          <w:vertAlign w:val="baseline"/>
          <w:lang w:val="en-US" w:eastAsia="zh-CN" w:bidi="ar"/>
        </w:rPr>
        <w:t xml:space="preserve"> </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eastAsia" w:ascii="仿宋_GB2312" w:hAnsi="Times New Roman" w:eastAsia="仿宋_GB2312" w:cs="仿宋_GB2312"/>
          <w:color w:val="000000"/>
          <w:kern w:val="0"/>
          <w:sz w:val="32"/>
          <w:szCs w:val="32"/>
          <w:vertAlign w:val="baseline"/>
          <w:lang w:val="en-US" w:eastAsia="zh-CN" w:bidi="ar"/>
        </w:rPr>
        <w:t>当病例已得到隔离治疗，密切接触者观察</w:t>
      </w:r>
      <w:r>
        <w:rPr>
          <w:rFonts w:hint="default" w:ascii="Times New Roman" w:hAnsi="Times New Roman" w:eastAsia="仿宋_GB2312" w:cs="宋体"/>
          <w:color w:val="000000"/>
          <w:kern w:val="0"/>
          <w:sz w:val="32"/>
          <w:szCs w:val="32"/>
          <w:vertAlign w:val="baseline"/>
          <w:lang w:val="en-US" w:eastAsia="zh-CN" w:bidi="ar"/>
        </w:rPr>
        <w:t>14</w:t>
      </w:r>
      <w:r>
        <w:rPr>
          <w:rFonts w:hint="eastAsia" w:ascii="仿宋_GB2312" w:hAnsi="Times New Roman" w:eastAsia="仿宋_GB2312" w:cs="仿宋_GB2312"/>
          <w:color w:val="000000"/>
          <w:kern w:val="0"/>
          <w:sz w:val="32"/>
          <w:szCs w:val="32"/>
          <w:vertAlign w:val="baseline"/>
          <w:lang w:val="en-US" w:eastAsia="zh-CN" w:bidi="ar"/>
        </w:rPr>
        <w:t>天期满，后续无新发病例，环境得到有效消毒，经卫生健康部门评估，可由机构疫情应急领导小组决定预案终止。</w:t>
      </w:r>
    </w:p>
    <w:p>
      <w:pPr>
        <w:pStyle w:val="4"/>
        <w:keepNext w:val="0"/>
        <w:keepLines w:val="0"/>
        <w:widowControl/>
        <w:suppressLineNumbers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仿宋_GB2312" w:cs="宋体"/>
          <w:color w:val="000000"/>
          <w:kern w:val="0"/>
          <w:sz w:val="32"/>
          <w:szCs w:val="32"/>
          <w:vertAlign w:val="baseline"/>
        </w:rPr>
      </w:pPr>
      <w:r>
        <w:rPr>
          <w:rFonts w:hint="default" w:ascii="Times New Roman" w:hAnsi="Times New Roman" w:eastAsia="仿宋_GB2312" w:cs="宋体"/>
          <w:color w:val="000000"/>
          <w:kern w:val="0"/>
          <w:sz w:val="32"/>
          <w:szCs w:val="32"/>
          <w:vertAlign w:val="baseline"/>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pPr>
      <w:r>
        <w:rPr>
          <w:rFonts w:hint="eastAsia" w:ascii="仿宋_GB2312" w:hAnsi="Times New Roman" w:eastAsia="仿宋_GB2312" w:cs="仿宋_GB2312"/>
          <w:color w:val="000000"/>
          <w:kern w:val="0"/>
          <w:sz w:val="32"/>
          <w:szCs w:val="32"/>
          <w:lang w:val="en-US" w:eastAsia="zh-CN" w:bidi="ar"/>
        </w:rPr>
        <w:t>附件：</w:t>
      </w:r>
      <w:r>
        <w:rPr>
          <w:rFonts w:hint="eastAsia" w:ascii="仿宋_GB2312" w:hAnsi="Times New Roman" w:eastAsia="仿宋_GB2312" w:cs="仿宋_GB2312"/>
          <w:kern w:val="0"/>
          <w:sz w:val="32"/>
          <w:szCs w:val="32"/>
          <w:lang w:val="en-US" w:eastAsia="zh-CN" w:bidi="ar"/>
        </w:rPr>
        <w:t>殡葬服务机构新冠肺炎疫情应急响应流程图</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napToGrid w:val="0"/>
          <w:color w:val="auto"/>
          <w:kern w:val="0"/>
          <w:sz w:val="32"/>
          <w:szCs w:val="32"/>
          <w:lang w:val="en-US" w:eastAsia="zh-CN" w:bidi="ar"/>
        </w:rPr>
      </w:pPr>
    </w:p>
    <w:p>
      <w:pPr>
        <w:pStyle w:val="4"/>
        <w:keepNext w:val="0"/>
        <w:keepLines w:val="0"/>
        <w:pageBreakBefore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jc w:val="both"/>
        <w:textAlignment w:val="baseline"/>
        <w:outlineLvl w:val="9"/>
        <w:rPr>
          <w:rFonts w:hint="eastAsia" w:ascii="黑体" w:hAnsi="黑体" w:eastAsia="黑体" w:cs="黑体"/>
          <w:color w:val="auto"/>
          <w:sz w:val="32"/>
          <w:szCs w:val="32"/>
          <w:lang w:eastAsia="zh-CN" w:bidi="ar"/>
        </w:rPr>
      </w:pPr>
      <w:r>
        <w:rPr>
          <w:rFonts w:hint="eastAsia" w:ascii="黑体" w:hAnsi="黑体" w:eastAsia="黑体" w:cs="黑体"/>
          <w:color w:val="auto"/>
          <w:sz w:val="32"/>
          <w:szCs w:val="32"/>
          <w:lang w:eastAsia="zh-CN" w:bidi="ar"/>
        </w:rPr>
        <w:br w:type="page"/>
      </w:r>
      <w:r>
        <w:rPr>
          <w:rFonts w:hint="eastAsia" w:ascii="黑体" w:hAnsi="黑体" w:eastAsia="黑体" w:cs="黑体"/>
          <w:color w:val="auto"/>
          <w:sz w:val="32"/>
          <w:szCs w:val="32"/>
          <w:lang w:eastAsia="zh-CN" w:bidi="ar"/>
        </w:rPr>
        <w:t>附件</w:t>
      </w:r>
    </w:p>
    <w:p>
      <w:pPr>
        <w:pStyle w:val="4"/>
        <w:keepNext w:val="0"/>
        <w:keepLines w:val="0"/>
        <w:pageBreakBefore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jc w:val="both"/>
        <w:textAlignment w:val="baseline"/>
        <w:outlineLvl w:val="9"/>
        <w:rPr>
          <w:rFonts w:hint="eastAsia" w:ascii="黑体" w:hAnsi="黑体" w:eastAsia="黑体" w:cs="黑体"/>
          <w:color w:val="auto"/>
          <w:sz w:val="32"/>
          <w:szCs w:val="32"/>
          <w:lang w:eastAsia="zh-CN" w:bidi="ar"/>
        </w:rPr>
      </w:pPr>
    </w:p>
    <w:p>
      <w:pPr>
        <w:pStyle w:val="7"/>
        <w:jc w:val="center"/>
        <w:rPr>
          <w:rFonts w:hint="eastAsia" w:ascii="黑体" w:hAnsi="黑体" w:eastAsia="黑体" w:cs="黑体"/>
          <w:color w:val="auto"/>
          <w:sz w:val="32"/>
          <w:szCs w:val="40"/>
          <w:lang w:eastAsia="zh-CN"/>
        </w:rPr>
        <w:sectPr>
          <w:footerReference r:id="rId3" w:type="default"/>
          <w:pgSz w:w="11906" w:h="16838"/>
          <w:pgMar w:top="2041" w:right="1531" w:bottom="2041" w:left="1531" w:header="851" w:footer="1332" w:gutter="0"/>
          <w:pgNumType w:fmt="numberInDash"/>
          <w:cols w:space="720" w:num="1"/>
          <w:titlePg/>
          <w:rtlGutter w:val="0"/>
          <w:docGrid w:type="lines" w:linePitch="312" w:charSpace="0"/>
        </w:sectPr>
      </w:pPr>
      <w:r>
        <w:rPr>
          <w:color w:val="auto"/>
        </w:rPr>
        <w:drawing>
          <wp:inline distT="0" distB="0" distL="114300" distR="114300">
            <wp:extent cx="4979035" cy="7260590"/>
            <wp:effectExtent l="0" t="0" r="1206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79035" cy="7260590"/>
                    </a:xfrm>
                    <a:prstGeom prst="rect">
                      <a:avLst/>
                    </a:prstGeom>
                    <a:noFill/>
                    <a:ln>
                      <a:noFill/>
                    </a:ln>
                  </pic:spPr>
                </pic:pic>
              </a:graphicData>
            </a:graphic>
          </wp:inline>
        </w:drawing>
      </w:r>
    </w:p>
    <w:p>
      <w:pPr>
        <w:tabs>
          <w:tab w:val="left" w:pos="1212"/>
        </w:tabs>
        <w:bidi w:val="0"/>
        <w:jc w:val="left"/>
        <w:rPr>
          <w:lang w:val="en-US" w:eastAsia="zh-CN"/>
        </w:rPr>
      </w:pP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0F313"/>
    <w:multiLevelType w:val="multilevel"/>
    <w:tmpl w:val="5E70F313"/>
    <w:lvl w:ilvl="0" w:tentative="0">
      <w:start w:val="4"/>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5E70F31E"/>
    <w:multiLevelType w:val="multilevel"/>
    <w:tmpl w:val="5E70F31E"/>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E490D"/>
    <w:rsid w:val="211668D6"/>
    <w:rsid w:val="223B789B"/>
    <w:rsid w:val="3B5E490D"/>
    <w:rsid w:val="645F7106"/>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before="0" w:beforeAutospacing="0" w:after="0" w:afterAutospacing="0" w:line="320" w:lineRule="exact"/>
      <w:ind w:left="0" w:right="0"/>
      <w:jc w:val="center"/>
    </w:pPr>
    <w:rPr>
      <w:rFonts w:hint="eastAsia" w:ascii="Times New Roman" w:hAnsi="Times New Roman" w:eastAsia="宋体" w:cs="Times New Roman"/>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customStyle="1" w:styleId="7">
    <w:name w:val="Body Text First Indent 2"/>
    <w:basedOn w:val="8"/>
    <w:qFormat/>
    <w:uiPriority w:val="0"/>
    <w:pPr>
      <w:spacing w:line="360" w:lineRule="auto"/>
    </w:pPr>
    <w:rPr>
      <w:rFonts w:eastAsia="宋体"/>
      <w:sz w:val="24"/>
    </w:rPr>
  </w:style>
  <w:style w:type="paragraph" w:customStyle="1" w:styleId="8">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2020-03-19T00:47:00Z</dcterms:created>
  <dc:creator>华</dc:creator>
  <cp:lastModifiedBy>华</cp:lastModifiedBy>
  <dcterms:modified xsi:type="dcterms:W3CDTF">2020-03-19T00:49:15Z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