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default" w:ascii="Times New Roman" w:hAnsi="Times New Roman" w:eastAsia="黑体" w:cs="Times New Roman"/>
          <w:b/>
          <w:bCs/>
          <w:color w:val="000000"/>
          <w:kern w:val="0"/>
          <w:sz w:val="48"/>
          <w:szCs w:val="48"/>
          <w:lang w:bidi="ar"/>
        </w:rPr>
      </w:pPr>
      <w:bookmarkStart w:id="0" w:name="_GoBack"/>
      <w:r>
        <w:rPr>
          <w:rFonts w:hint="default" w:ascii="Times New Roman" w:hAnsi="Times New Roman" w:eastAsia="黑体" w:cs="Times New Roman"/>
          <w:b/>
          <w:bCs/>
          <w:color w:val="000000"/>
          <w:kern w:val="0"/>
          <w:sz w:val="48"/>
          <w:szCs w:val="48"/>
          <w:lang w:bidi="ar"/>
        </w:rPr>
        <w:t>加强粤东</w:t>
      </w:r>
      <w:r>
        <w:rPr>
          <w:rFonts w:hint="default" w:ascii="Times New Roman" w:hAnsi="Times New Roman" w:eastAsia="黑体" w:cs="Times New Roman"/>
          <w:b/>
          <w:bCs/>
          <w:color w:val="000000"/>
          <w:kern w:val="0"/>
          <w:sz w:val="48"/>
          <w:szCs w:val="48"/>
          <w:lang w:eastAsia="zh-CN" w:bidi="ar"/>
        </w:rPr>
        <w:t>粤</w:t>
      </w:r>
      <w:r>
        <w:rPr>
          <w:rFonts w:hint="default" w:ascii="Times New Roman" w:hAnsi="Times New Roman" w:eastAsia="黑体" w:cs="Times New Roman"/>
          <w:b/>
          <w:bCs/>
          <w:color w:val="000000"/>
          <w:kern w:val="0"/>
          <w:sz w:val="48"/>
          <w:szCs w:val="48"/>
          <w:lang w:bidi="ar"/>
        </w:rPr>
        <w:t>西</w:t>
      </w:r>
      <w:r>
        <w:rPr>
          <w:rFonts w:hint="default" w:ascii="Times New Roman" w:hAnsi="Times New Roman" w:eastAsia="黑体" w:cs="Times New Roman"/>
          <w:b/>
          <w:bCs/>
          <w:color w:val="000000"/>
          <w:kern w:val="0"/>
          <w:sz w:val="48"/>
          <w:szCs w:val="48"/>
          <w:lang w:eastAsia="zh-CN" w:bidi="ar"/>
        </w:rPr>
        <w:t>粤</w:t>
      </w:r>
      <w:r>
        <w:rPr>
          <w:rFonts w:hint="default" w:ascii="Times New Roman" w:hAnsi="Times New Roman" w:eastAsia="黑体" w:cs="Times New Roman"/>
          <w:b/>
          <w:bCs/>
          <w:color w:val="000000"/>
          <w:kern w:val="0"/>
          <w:sz w:val="48"/>
          <w:szCs w:val="48"/>
          <w:lang w:bidi="ar"/>
        </w:rPr>
        <w:t>北基层医疗人才队伍和</w:t>
      </w:r>
    </w:p>
    <w:p>
      <w:pPr>
        <w:widowControl/>
        <w:spacing w:line="560" w:lineRule="exact"/>
        <w:jc w:val="center"/>
        <w:rPr>
          <w:rFonts w:hint="default" w:ascii="Times New Roman" w:hAnsi="Times New Roman" w:eastAsia="黑体" w:cs="Times New Roman"/>
          <w:b/>
          <w:bCs/>
          <w:color w:val="000000"/>
          <w:kern w:val="0"/>
          <w:sz w:val="48"/>
          <w:szCs w:val="48"/>
          <w:lang w:bidi="ar"/>
        </w:rPr>
      </w:pPr>
      <w:r>
        <w:rPr>
          <w:rFonts w:hint="default" w:ascii="Times New Roman" w:hAnsi="Times New Roman" w:eastAsia="黑体" w:cs="Times New Roman"/>
          <w:b/>
          <w:bCs/>
          <w:color w:val="000000"/>
          <w:kern w:val="0"/>
          <w:sz w:val="48"/>
          <w:szCs w:val="48"/>
          <w:lang w:bidi="ar"/>
        </w:rPr>
        <w:t>服务能力建设财政资金绩效评价报告</w:t>
      </w:r>
      <w:bookmarkEnd w:id="0"/>
    </w:p>
    <w:p>
      <w:pPr>
        <w:widowControl/>
        <w:spacing w:line="560" w:lineRule="exact"/>
        <w:jc w:val="center"/>
        <w:rPr>
          <w:rFonts w:hint="default" w:ascii="Times New Roman" w:hAnsi="Times New Roman" w:eastAsia="仿宋_GB2312" w:cs="Times New Roman"/>
          <w:b/>
          <w:bCs/>
          <w:color w:val="000000"/>
          <w:kern w:val="0"/>
          <w:sz w:val="32"/>
          <w:szCs w:val="32"/>
          <w:lang w:bidi="ar"/>
        </w:rPr>
      </w:pPr>
    </w:p>
    <w:p>
      <w:pPr>
        <w:widowControl/>
        <w:spacing w:line="560" w:lineRule="exact"/>
        <w:jc w:val="center"/>
        <w:rPr>
          <w:rFonts w:hint="default" w:ascii="Times New Roman" w:hAnsi="Times New Roman" w:eastAsia="黑体" w:cs="Times New Roman"/>
          <w:b/>
          <w:bCs/>
          <w:color w:val="000000"/>
          <w:kern w:val="0"/>
          <w:sz w:val="36"/>
          <w:szCs w:val="36"/>
          <w:lang w:bidi="ar"/>
        </w:rPr>
      </w:pPr>
      <w:r>
        <w:rPr>
          <w:rFonts w:hint="default" w:ascii="Times New Roman" w:hAnsi="Times New Roman" w:eastAsia="黑体" w:cs="Times New Roman"/>
          <w:b/>
          <w:bCs/>
          <w:color w:val="000000"/>
          <w:kern w:val="0"/>
          <w:sz w:val="36"/>
          <w:szCs w:val="36"/>
          <w:lang w:bidi="ar"/>
        </w:rPr>
        <w:t>（2019年省</w:t>
      </w:r>
      <w:r>
        <w:rPr>
          <w:rFonts w:hint="default" w:ascii="Times New Roman" w:hAnsi="Times New Roman" w:eastAsia="黑体" w:cs="Times New Roman"/>
          <w:b/>
          <w:bCs/>
          <w:color w:val="000000"/>
          <w:kern w:val="0"/>
          <w:sz w:val="36"/>
          <w:szCs w:val="36"/>
          <w:lang w:eastAsia="zh-CN" w:bidi="ar"/>
        </w:rPr>
        <w:t>级</w:t>
      </w:r>
      <w:r>
        <w:rPr>
          <w:rFonts w:hint="default" w:ascii="Times New Roman" w:hAnsi="Times New Roman" w:eastAsia="黑体" w:cs="Times New Roman"/>
          <w:b/>
          <w:bCs/>
          <w:color w:val="000000"/>
          <w:kern w:val="0"/>
          <w:sz w:val="36"/>
          <w:szCs w:val="36"/>
          <w:lang w:bidi="ar"/>
        </w:rPr>
        <w:t>民生实事）</w:t>
      </w:r>
    </w:p>
    <w:p>
      <w:pPr>
        <w:widowControl/>
        <w:spacing w:line="560" w:lineRule="exact"/>
        <w:jc w:val="center"/>
        <w:rPr>
          <w:rFonts w:hint="default" w:ascii="Times New Roman" w:hAnsi="Times New Roman" w:eastAsia="仿宋_GB2312" w:cs="Times New Roman"/>
          <w:b/>
          <w:bCs/>
          <w:color w:val="000000"/>
          <w:kern w:val="0"/>
          <w:sz w:val="32"/>
          <w:szCs w:val="32"/>
          <w:lang w:bidi="ar"/>
        </w:rPr>
      </w:pPr>
    </w:p>
    <w:p>
      <w:pPr>
        <w:widowControl/>
        <w:spacing w:line="560" w:lineRule="exact"/>
        <w:jc w:val="center"/>
        <w:rPr>
          <w:rFonts w:hint="default" w:ascii="Times New Roman" w:hAnsi="Times New Roman" w:eastAsia="仿宋_GB2312" w:cs="Times New Roman"/>
          <w:b/>
          <w:bCs/>
          <w:color w:val="000000"/>
          <w:kern w:val="0"/>
          <w:sz w:val="32"/>
          <w:szCs w:val="32"/>
          <w:lang w:bidi="ar"/>
        </w:rPr>
      </w:pPr>
    </w:p>
    <w:p>
      <w:pPr>
        <w:widowControl/>
        <w:spacing w:line="560" w:lineRule="exact"/>
        <w:jc w:val="center"/>
        <w:rPr>
          <w:rFonts w:hint="default" w:ascii="Times New Roman" w:hAnsi="Times New Roman" w:eastAsia="仿宋_GB2312" w:cs="Times New Roman"/>
          <w:color w:val="000000"/>
          <w:kern w:val="0"/>
          <w:sz w:val="32"/>
          <w:szCs w:val="32"/>
          <w:lang w:bidi="ar"/>
        </w:rPr>
      </w:pPr>
    </w:p>
    <w:p>
      <w:pPr>
        <w:snapToGrid w:val="0"/>
        <w:spacing w:line="560" w:lineRule="exact"/>
        <w:ind w:firstLine="1780" w:firstLineChars="500"/>
        <w:rPr>
          <w:rFonts w:hint="default" w:ascii="Times New Roman" w:hAnsi="Times New Roman" w:eastAsia="仿宋_GB2312" w:cs="Times New Roman"/>
          <w:b/>
          <w:bCs/>
          <w:color w:val="000000"/>
          <w:kern w:val="0"/>
          <w:sz w:val="36"/>
          <w:szCs w:val="36"/>
        </w:rPr>
      </w:pPr>
      <w:r>
        <w:rPr>
          <w:rFonts w:hint="default" w:ascii="Times New Roman" w:hAnsi="Times New Roman" w:eastAsia="仿宋_GB2312" w:cs="Times New Roman"/>
          <w:b/>
          <w:bCs/>
          <w:color w:val="000000"/>
          <w:kern w:val="0"/>
          <w:sz w:val="36"/>
          <w:szCs w:val="36"/>
        </w:rPr>
        <w:t>主管部门：广东省卫生健康委员会</w:t>
      </w:r>
    </w:p>
    <w:p>
      <w:pPr>
        <w:snapToGrid w:val="0"/>
        <w:spacing w:line="560" w:lineRule="exact"/>
        <w:ind w:firstLine="1424" w:firstLineChars="400"/>
        <w:jc w:val="center"/>
        <w:rPr>
          <w:rFonts w:hint="default" w:ascii="Times New Roman" w:hAnsi="Times New Roman" w:eastAsia="仿宋_GB2312" w:cs="Times New Roman"/>
          <w:b/>
          <w:bCs/>
          <w:color w:val="000000"/>
          <w:kern w:val="0"/>
          <w:sz w:val="36"/>
          <w:szCs w:val="36"/>
        </w:rPr>
      </w:pPr>
    </w:p>
    <w:p>
      <w:pPr>
        <w:snapToGrid w:val="0"/>
        <w:spacing w:line="560" w:lineRule="exact"/>
        <w:ind w:firstLine="1780" w:firstLineChars="500"/>
        <w:rPr>
          <w:rFonts w:hint="default" w:ascii="Times New Roman" w:hAnsi="Times New Roman" w:eastAsia="仿宋_GB2312" w:cs="Times New Roman"/>
          <w:b/>
          <w:bCs/>
          <w:color w:val="000000"/>
          <w:kern w:val="0"/>
          <w:sz w:val="36"/>
          <w:szCs w:val="36"/>
        </w:rPr>
      </w:pPr>
      <w:r>
        <w:rPr>
          <w:rFonts w:hint="default" w:ascii="Times New Roman" w:hAnsi="Times New Roman" w:eastAsia="仿宋_GB2312" w:cs="Times New Roman"/>
          <w:b/>
          <w:bCs/>
          <w:color w:val="000000"/>
          <w:kern w:val="0"/>
          <w:sz w:val="36"/>
          <w:szCs w:val="36"/>
        </w:rPr>
        <w:t>填 报 人： 蔡祖劲</w:t>
      </w:r>
    </w:p>
    <w:p>
      <w:pPr>
        <w:snapToGrid w:val="0"/>
        <w:spacing w:line="560" w:lineRule="exact"/>
        <w:jc w:val="center"/>
        <w:rPr>
          <w:rFonts w:hint="default" w:ascii="Times New Roman" w:hAnsi="Times New Roman" w:eastAsia="仿宋_GB2312" w:cs="Times New Roman"/>
          <w:b/>
          <w:bCs/>
          <w:color w:val="000000"/>
          <w:kern w:val="0"/>
          <w:sz w:val="36"/>
          <w:szCs w:val="36"/>
        </w:rPr>
      </w:pPr>
    </w:p>
    <w:p>
      <w:pPr>
        <w:snapToGrid w:val="0"/>
        <w:spacing w:line="560" w:lineRule="exact"/>
        <w:ind w:firstLine="1780" w:firstLineChars="500"/>
        <w:rPr>
          <w:rFonts w:hint="default" w:ascii="Times New Roman" w:hAnsi="Times New Roman" w:eastAsia="仿宋_GB2312" w:cs="Times New Roman"/>
          <w:b/>
          <w:bCs/>
          <w:color w:val="000000"/>
          <w:kern w:val="0"/>
          <w:sz w:val="36"/>
          <w:szCs w:val="36"/>
        </w:rPr>
      </w:pPr>
      <w:r>
        <w:rPr>
          <w:rFonts w:hint="default" w:ascii="Times New Roman" w:hAnsi="Times New Roman" w:eastAsia="仿宋_GB2312" w:cs="Times New Roman"/>
          <w:b/>
          <w:bCs/>
          <w:color w:val="000000"/>
          <w:kern w:val="0"/>
          <w:sz w:val="36"/>
          <w:szCs w:val="36"/>
        </w:rPr>
        <w:t>联系电话：020-</w:t>
      </w:r>
      <w:r>
        <w:rPr>
          <w:rFonts w:hint="default" w:ascii="Times New Roman" w:hAnsi="Times New Roman" w:eastAsia="仿宋_GB2312" w:cs="Times New Roman"/>
          <w:color w:val="000000"/>
          <w:kern w:val="0"/>
          <w:sz w:val="36"/>
          <w:szCs w:val="36"/>
        </w:rPr>
        <w:t>83880532</w:t>
      </w:r>
    </w:p>
    <w:p>
      <w:pPr>
        <w:snapToGrid w:val="0"/>
        <w:spacing w:line="560" w:lineRule="exact"/>
        <w:ind w:firstLine="1424" w:firstLineChars="400"/>
        <w:rPr>
          <w:rFonts w:hint="default" w:ascii="Times New Roman" w:hAnsi="Times New Roman" w:eastAsia="仿宋_GB2312" w:cs="Times New Roman"/>
          <w:b/>
          <w:bCs/>
          <w:color w:val="000000"/>
          <w:kern w:val="0"/>
          <w:sz w:val="36"/>
          <w:szCs w:val="36"/>
        </w:rPr>
      </w:pPr>
      <w:r>
        <w:rPr>
          <w:rFonts w:hint="default" w:ascii="Times New Roman" w:hAnsi="Times New Roman" w:eastAsia="仿宋_GB2312" w:cs="Times New Roman"/>
          <w:b/>
          <w:bCs/>
          <w:color w:val="000000"/>
          <w:kern w:val="0"/>
          <w:sz w:val="36"/>
          <w:szCs w:val="36"/>
        </w:rPr>
        <w:t xml:space="preserve"> </w:t>
      </w:r>
    </w:p>
    <w:p>
      <w:pPr>
        <w:tabs>
          <w:tab w:val="left" w:pos="9040"/>
        </w:tabs>
        <w:spacing w:line="560" w:lineRule="exact"/>
        <w:rPr>
          <w:rFonts w:hint="default" w:ascii="Times New Roman" w:hAnsi="Times New Roman" w:eastAsia="仿宋_GB2312" w:cs="Times New Roman"/>
          <w:color w:val="000000"/>
          <w:sz w:val="32"/>
          <w:szCs w:val="32"/>
        </w:rPr>
      </w:pPr>
    </w:p>
    <w:p>
      <w:pPr>
        <w:tabs>
          <w:tab w:val="left" w:pos="9040"/>
        </w:tabs>
        <w:spacing w:line="560" w:lineRule="exact"/>
        <w:rPr>
          <w:rFonts w:hint="default" w:ascii="Times New Roman" w:hAnsi="Times New Roman" w:eastAsia="仿宋_GB2312" w:cs="Times New Roman"/>
          <w:color w:val="000000"/>
          <w:sz w:val="32"/>
          <w:szCs w:val="32"/>
        </w:rPr>
      </w:pPr>
    </w:p>
    <w:p>
      <w:pPr>
        <w:tabs>
          <w:tab w:val="left" w:pos="9040"/>
        </w:tabs>
        <w:spacing w:line="560" w:lineRule="exact"/>
        <w:rPr>
          <w:rFonts w:hint="default" w:ascii="Times New Roman" w:hAnsi="Times New Roman" w:eastAsia="仿宋_GB2312" w:cs="Times New Roman"/>
          <w:color w:val="000000"/>
          <w:sz w:val="32"/>
          <w:szCs w:val="32"/>
        </w:rPr>
      </w:pPr>
    </w:p>
    <w:p>
      <w:pPr>
        <w:tabs>
          <w:tab w:val="left" w:pos="9040"/>
        </w:tabs>
        <w:spacing w:line="56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b/>
      </w:r>
    </w:p>
    <w:p>
      <w:pPr>
        <w:widowControl/>
        <w:spacing w:line="560" w:lineRule="exact"/>
        <w:jc w:val="center"/>
        <w:rPr>
          <w:rFonts w:hint="default" w:ascii="Times New Roman" w:hAnsi="Times New Roman" w:eastAsia="黑体" w:cs="Times New Roman"/>
          <w:b/>
          <w:bCs/>
          <w:color w:val="000000"/>
          <w:kern w:val="0"/>
          <w:sz w:val="32"/>
          <w:szCs w:val="32"/>
        </w:rPr>
        <w:sectPr>
          <w:footerReference r:id="rId4" w:type="first"/>
          <w:footerReference r:id="rId3" w:type="default"/>
          <w:pgSz w:w="11906" w:h="16838"/>
          <w:pgMar w:top="2041" w:right="1531" w:bottom="2041" w:left="1531" w:header="851" w:footer="1332" w:gutter="0"/>
          <w:pgNumType w:fmt="numberInDash"/>
          <w:cols w:space="720" w:num="1"/>
          <w:rtlGutter w:val="0"/>
          <w:docGrid w:type="linesAndChars" w:linePitch="579" w:charSpace="-849"/>
        </w:sectPr>
      </w:pPr>
      <w:r>
        <w:rPr>
          <w:rFonts w:hint="default" w:ascii="Times New Roman" w:hAnsi="Times New Roman" w:eastAsia="黑体" w:cs="Times New Roman"/>
          <w:b/>
          <w:bCs/>
          <w:color w:val="000000"/>
          <w:sz w:val="32"/>
          <w:szCs w:val="32"/>
          <w:lang w:val="en-US" w:eastAsia="zh-CN"/>
        </w:rPr>
        <w:t>2020</w:t>
      </w:r>
      <w:r>
        <w:rPr>
          <w:rFonts w:hint="default" w:ascii="Times New Roman" w:hAnsi="Times New Roman" w:eastAsia="黑体" w:cs="Times New Roman"/>
          <w:b/>
          <w:bCs/>
          <w:color w:val="000000"/>
          <w:sz w:val="32"/>
          <w:szCs w:val="32"/>
        </w:rPr>
        <w:t>年</w:t>
      </w:r>
      <w:r>
        <w:rPr>
          <w:rFonts w:hint="default" w:ascii="Times New Roman" w:hAnsi="Times New Roman" w:eastAsia="黑体" w:cs="Times New Roman"/>
          <w:b/>
          <w:bCs/>
          <w:color w:val="000000"/>
          <w:sz w:val="32"/>
          <w:szCs w:val="32"/>
          <w:lang w:val="en-US" w:eastAsia="zh-CN"/>
        </w:rPr>
        <w:t>3</w:t>
      </w:r>
      <w:r>
        <w:rPr>
          <w:rFonts w:hint="default" w:ascii="Times New Roman" w:hAnsi="Times New Roman" w:eastAsia="黑体" w:cs="Times New Roman"/>
          <w:b/>
          <w:bCs/>
          <w:color w:val="000000"/>
          <w:sz w:val="32"/>
          <w:szCs w:val="32"/>
        </w:rPr>
        <w:t>月</w:t>
      </w:r>
    </w:p>
    <w:p>
      <w:pPr>
        <w:widowControl/>
        <w:spacing w:line="560" w:lineRule="exact"/>
        <w:jc w:val="center"/>
        <w:rPr>
          <w:rFonts w:hint="default" w:ascii="Times New Roman" w:hAnsi="Times New Roman" w:eastAsia="黑体" w:cs="Times New Roman"/>
          <w:b/>
          <w:color w:val="000000"/>
          <w:kern w:val="0"/>
          <w:sz w:val="32"/>
          <w:szCs w:val="32"/>
          <w:lang w:bidi="ar"/>
        </w:rPr>
      </w:pPr>
    </w:p>
    <w:p>
      <w:pPr>
        <w:widowControl/>
        <w:spacing w:line="560" w:lineRule="exact"/>
        <w:jc w:val="center"/>
        <w:rPr>
          <w:rFonts w:hint="default" w:ascii="Times New Roman" w:hAnsi="Times New Roman" w:eastAsia="黑体" w:cs="Times New Roman"/>
          <w:b/>
          <w:color w:val="000000"/>
          <w:kern w:val="0"/>
          <w:sz w:val="32"/>
          <w:szCs w:val="32"/>
          <w:lang w:bidi="ar"/>
        </w:rPr>
      </w:pPr>
      <w:r>
        <w:rPr>
          <w:rFonts w:hint="default" w:ascii="Times New Roman" w:hAnsi="Times New Roman" w:eastAsia="黑体" w:cs="Times New Roman"/>
          <w:b/>
          <w:color w:val="000000"/>
          <w:kern w:val="0"/>
          <w:sz w:val="32"/>
          <w:szCs w:val="32"/>
          <w:lang w:bidi="ar"/>
        </w:rPr>
        <w:t>目      录</w:t>
      </w:r>
    </w:p>
    <w:p>
      <w:pPr>
        <w:pStyle w:val="2"/>
        <w:rPr>
          <w:rFonts w:hint="default" w:ascii="Times New Roman" w:hAnsi="Times New Roman" w:cs="Times New Roman"/>
        </w:rPr>
      </w:pPr>
    </w:p>
    <w:p>
      <w:pPr>
        <w:widowControl/>
        <w:spacing w:line="560" w:lineRule="exact"/>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一、基本情况.......................................................................................1</w:t>
      </w:r>
    </w:p>
    <w:p>
      <w:pPr>
        <w:widowControl/>
        <w:spacing w:line="560" w:lineRule="exact"/>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bidi="ar"/>
        </w:rPr>
        <w:t>二、绩效指标分析...............................................................................8</w:t>
      </w:r>
    </w:p>
    <w:p>
      <w:pPr>
        <w:widowControl/>
        <w:spacing w:line="560" w:lineRule="exact"/>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bidi="ar"/>
        </w:rPr>
        <w:t>三、综合评价结论.............................................................................19</w:t>
      </w:r>
    </w:p>
    <w:p>
      <w:pPr>
        <w:widowControl/>
        <w:spacing w:line="560" w:lineRule="exact"/>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bidi="ar"/>
        </w:rPr>
        <w:t>四、主要绩效......................................................................................22</w:t>
      </w:r>
    </w:p>
    <w:p>
      <w:pPr>
        <w:widowControl/>
        <w:spacing w:line="560" w:lineRule="exact"/>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bidi="ar"/>
        </w:rPr>
        <w:t>五、存在问题.....................................................................................26</w:t>
      </w:r>
    </w:p>
    <w:p>
      <w:pPr>
        <w:widowControl/>
        <w:spacing w:line="560" w:lineRule="exact"/>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bidi="ar"/>
        </w:rPr>
        <w:t>六、相关建议.....................................................................................27</w:t>
      </w:r>
    </w:p>
    <w:p>
      <w:pPr>
        <w:widowControl/>
        <w:spacing w:line="560" w:lineRule="exact"/>
        <w:jc w:val="left"/>
        <w:rPr>
          <w:rFonts w:hint="default" w:ascii="Times New Roman" w:hAnsi="Times New Roman" w:eastAsia="仿宋_GB2312" w:cs="Times New Roman"/>
          <w:color w:val="000000"/>
          <w:kern w:val="0"/>
          <w:sz w:val="32"/>
          <w:szCs w:val="32"/>
          <w:lang w:bidi="ar"/>
        </w:rPr>
      </w:pPr>
    </w:p>
    <w:p>
      <w:pPr>
        <w:widowControl/>
        <w:spacing w:line="560" w:lineRule="exact"/>
        <w:jc w:val="left"/>
        <w:rPr>
          <w:rFonts w:hint="default" w:ascii="Times New Roman" w:hAnsi="Times New Roman" w:eastAsia="仿宋_GB2312" w:cs="Times New Roman"/>
          <w:color w:val="000000"/>
          <w:kern w:val="0"/>
          <w:sz w:val="32"/>
          <w:szCs w:val="32"/>
          <w:lang w:eastAsia="zh-CN" w:bidi="ar"/>
        </w:rPr>
      </w:pPr>
      <w:r>
        <w:rPr>
          <w:rFonts w:hint="default" w:ascii="Times New Roman" w:hAnsi="Times New Roman" w:eastAsia="仿宋_GB2312" w:cs="Times New Roman"/>
          <w:color w:val="000000"/>
          <w:kern w:val="0"/>
          <w:sz w:val="32"/>
          <w:szCs w:val="32"/>
          <w:lang w:bidi="ar"/>
        </w:rPr>
        <w:t>附件</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1.基础信息表........................................................................2</w:t>
      </w:r>
      <w:r>
        <w:rPr>
          <w:rFonts w:hint="default" w:ascii="Times New Roman" w:hAnsi="Times New Roman" w:eastAsia="仿宋_GB2312" w:cs="Times New Roman"/>
          <w:color w:val="000000"/>
          <w:kern w:val="0"/>
          <w:sz w:val="32"/>
          <w:szCs w:val="32"/>
          <w:lang w:val="en-US" w:eastAsia="zh-CN" w:bidi="ar"/>
        </w:rPr>
        <w:t>6</w:t>
      </w:r>
    </w:p>
    <w:p>
      <w:pPr>
        <w:widowControl/>
        <w:spacing w:line="560" w:lineRule="exact"/>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2.自评分表..............................................................................</w:t>
      </w:r>
      <w:r>
        <w:rPr>
          <w:rFonts w:hint="default" w:ascii="Times New Roman" w:hAnsi="Times New Roman" w:eastAsia="仿宋_GB2312" w:cs="Times New Roman"/>
          <w:color w:val="000000"/>
          <w:kern w:val="0"/>
          <w:sz w:val="32"/>
          <w:szCs w:val="32"/>
          <w:lang w:val="en-US" w:eastAsia="zh-CN" w:bidi="ar"/>
        </w:rPr>
        <w:t>31</w:t>
      </w:r>
    </w:p>
    <w:p>
      <w:pPr>
        <w:widowControl/>
        <w:spacing w:line="560" w:lineRule="exact"/>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3.佐证材料递交表.................................................................</w:t>
      </w:r>
      <w:r>
        <w:rPr>
          <w:rFonts w:hint="default" w:ascii="Times New Roman" w:hAnsi="Times New Roman" w:eastAsia="仿宋_GB2312" w:cs="Times New Roman"/>
          <w:color w:val="000000"/>
          <w:kern w:val="0"/>
          <w:sz w:val="32"/>
          <w:szCs w:val="32"/>
          <w:lang w:val="en-US" w:eastAsia="zh-CN" w:bidi="ar"/>
        </w:rPr>
        <w:t>35</w:t>
      </w:r>
    </w:p>
    <w:p>
      <w:pPr>
        <w:widowControl/>
        <w:spacing w:line="560" w:lineRule="exact"/>
        <w:ind w:firstLine="606" w:firstLineChars="200"/>
        <w:rPr>
          <w:rFonts w:hint="default" w:ascii="Times New Roman" w:hAnsi="Times New Roman" w:eastAsia="仿宋_GB2312" w:cs="Times New Roman"/>
          <w:color w:val="000000"/>
          <w:kern w:val="0"/>
          <w:sz w:val="32"/>
          <w:szCs w:val="32"/>
          <w:lang w:bidi="ar"/>
        </w:rPr>
      </w:pPr>
    </w:p>
    <w:p>
      <w:pPr>
        <w:widowControl/>
        <w:spacing w:line="560" w:lineRule="exact"/>
        <w:ind w:firstLine="606" w:firstLineChars="200"/>
        <w:rPr>
          <w:rFonts w:hint="default" w:ascii="Times New Roman" w:hAnsi="Times New Roman" w:eastAsia="仿宋_GB2312" w:cs="Times New Roman"/>
          <w:color w:val="000000"/>
          <w:kern w:val="0"/>
          <w:sz w:val="32"/>
          <w:szCs w:val="32"/>
          <w:lang w:bidi="ar"/>
        </w:rPr>
      </w:pPr>
    </w:p>
    <w:p>
      <w:pPr>
        <w:widowControl/>
        <w:spacing w:line="560" w:lineRule="exact"/>
        <w:ind w:firstLine="606" w:firstLineChars="200"/>
        <w:rPr>
          <w:rFonts w:hint="default" w:ascii="Times New Roman" w:hAnsi="Times New Roman" w:eastAsia="仿宋_GB2312" w:cs="Times New Roman"/>
          <w:color w:val="000000"/>
          <w:kern w:val="0"/>
          <w:sz w:val="32"/>
          <w:szCs w:val="32"/>
          <w:lang w:bidi="ar"/>
        </w:rPr>
      </w:pPr>
    </w:p>
    <w:p>
      <w:pPr>
        <w:widowControl/>
        <w:spacing w:line="560" w:lineRule="exact"/>
        <w:ind w:firstLine="606" w:firstLineChars="200"/>
        <w:rPr>
          <w:rFonts w:hint="default" w:ascii="Times New Roman" w:hAnsi="Times New Roman" w:eastAsia="仿宋_GB2312" w:cs="Times New Roman"/>
          <w:color w:val="000000"/>
          <w:kern w:val="0"/>
          <w:sz w:val="32"/>
          <w:szCs w:val="32"/>
          <w:lang w:bidi="ar"/>
        </w:rPr>
      </w:pPr>
    </w:p>
    <w:p>
      <w:pPr>
        <w:widowControl/>
        <w:spacing w:line="560" w:lineRule="exact"/>
        <w:ind w:firstLine="606" w:firstLineChars="200"/>
        <w:rPr>
          <w:rFonts w:hint="default" w:ascii="Times New Roman" w:hAnsi="Times New Roman" w:eastAsia="仿宋_GB2312" w:cs="Times New Roman"/>
          <w:color w:val="000000"/>
          <w:kern w:val="0"/>
          <w:sz w:val="32"/>
          <w:szCs w:val="32"/>
          <w:lang w:bidi="ar"/>
        </w:rPr>
      </w:pPr>
    </w:p>
    <w:p>
      <w:pPr>
        <w:widowControl/>
        <w:spacing w:line="560" w:lineRule="exact"/>
        <w:ind w:firstLine="606" w:firstLineChars="200"/>
        <w:rPr>
          <w:rFonts w:hint="default" w:ascii="Times New Roman" w:hAnsi="Times New Roman" w:eastAsia="仿宋_GB2312" w:cs="Times New Roman"/>
          <w:color w:val="000000"/>
          <w:kern w:val="0"/>
          <w:sz w:val="32"/>
          <w:szCs w:val="32"/>
          <w:lang w:bidi="ar"/>
        </w:rPr>
      </w:pPr>
    </w:p>
    <w:p>
      <w:pPr>
        <w:widowControl/>
        <w:spacing w:line="560" w:lineRule="exact"/>
        <w:ind w:firstLine="606" w:firstLineChars="200"/>
        <w:rPr>
          <w:rFonts w:hint="default" w:ascii="Times New Roman" w:hAnsi="Times New Roman" w:eastAsia="仿宋_GB2312" w:cs="Times New Roman"/>
          <w:color w:val="000000"/>
          <w:kern w:val="0"/>
          <w:sz w:val="32"/>
          <w:szCs w:val="32"/>
          <w:lang w:bidi="ar"/>
        </w:rPr>
      </w:pPr>
    </w:p>
    <w:p>
      <w:pPr>
        <w:widowControl/>
        <w:spacing w:line="560" w:lineRule="exact"/>
        <w:ind w:firstLine="606" w:firstLineChars="200"/>
        <w:rPr>
          <w:rFonts w:hint="default" w:ascii="Times New Roman" w:hAnsi="Times New Roman" w:eastAsia="仿宋_GB2312" w:cs="Times New Roman"/>
          <w:color w:val="000000"/>
          <w:kern w:val="0"/>
          <w:sz w:val="32"/>
          <w:szCs w:val="32"/>
          <w:lang w:bidi="ar"/>
        </w:rPr>
      </w:pPr>
    </w:p>
    <w:p>
      <w:pPr>
        <w:widowControl/>
        <w:spacing w:line="560" w:lineRule="exact"/>
        <w:ind w:firstLine="606" w:firstLineChars="200"/>
        <w:rPr>
          <w:rFonts w:hint="default" w:ascii="Times New Roman" w:hAnsi="Times New Roman" w:eastAsia="仿宋_GB2312" w:cs="Times New Roman"/>
          <w:color w:val="000000"/>
          <w:kern w:val="0"/>
          <w:sz w:val="32"/>
          <w:szCs w:val="32"/>
          <w:lang w:bidi="ar"/>
        </w:rPr>
      </w:pPr>
    </w:p>
    <w:p>
      <w:pPr>
        <w:widowControl/>
        <w:spacing w:beforeLines="0" w:afterLines="0" w:line="560" w:lineRule="exact"/>
        <w:ind w:firstLine="606" w:firstLineChars="20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根据《广东省财政厅关于做好2020年省级财政重点绩效评价工作有关问题的通知》（粤财绩函〔2020〕2号）有关要求，我委认真组织开展了2019年</w:t>
      </w:r>
      <w:r>
        <w:rPr>
          <w:rFonts w:hint="default" w:ascii="Times New Roman" w:hAnsi="Times New Roman" w:eastAsia="仿宋_GB2312" w:cs="Times New Roman"/>
          <w:color w:val="000000"/>
          <w:kern w:val="0"/>
          <w:sz w:val="32"/>
          <w:szCs w:val="32"/>
          <w:lang w:eastAsia="zh-CN" w:bidi="ar"/>
        </w:rPr>
        <w:t>度</w:t>
      </w:r>
      <w:r>
        <w:rPr>
          <w:rFonts w:hint="default" w:ascii="Times New Roman" w:hAnsi="Times New Roman" w:eastAsia="仿宋_GB2312" w:cs="Times New Roman"/>
          <w:color w:val="000000"/>
          <w:kern w:val="0"/>
          <w:sz w:val="32"/>
          <w:szCs w:val="32"/>
          <w:lang w:bidi="ar"/>
        </w:rPr>
        <w:t>省政府</w:t>
      </w:r>
      <w:r>
        <w:rPr>
          <w:rFonts w:hint="default" w:ascii="Times New Roman" w:hAnsi="Times New Roman" w:eastAsia="仿宋_GB2312" w:cs="Times New Roman"/>
          <w:color w:val="000000"/>
          <w:kern w:val="0"/>
          <w:sz w:val="32"/>
          <w:szCs w:val="32"/>
          <w:lang w:eastAsia="zh-CN" w:bidi="ar"/>
        </w:rPr>
        <w:t>省级</w:t>
      </w:r>
      <w:r>
        <w:rPr>
          <w:rFonts w:hint="default" w:ascii="Times New Roman" w:hAnsi="Times New Roman" w:eastAsia="仿宋_GB2312" w:cs="Times New Roman"/>
          <w:color w:val="000000"/>
          <w:kern w:val="0"/>
          <w:sz w:val="32"/>
          <w:szCs w:val="32"/>
          <w:lang w:bidi="ar"/>
        </w:rPr>
        <w:t>十件民生实事</w:t>
      </w:r>
      <w:r>
        <w:rPr>
          <w:rFonts w:hint="default" w:ascii="Times New Roman" w:hAnsi="Times New Roman" w:eastAsia="仿宋_GB2312" w:cs="Times New Roman"/>
          <w:color w:val="000000"/>
          <w:kern w:val="0"/>
          <w:sz w:val="32"/>
          <w:szCs w:val="32"/>
          <w:lang w:eastAsia="zh-CN" w:bidi="ar"/>
        </w:rPr>
        <w:t>的</w:t>
      </w:r>
      <w:r>
        <w:rPr>
          <w:rFonts w:hint="default" w:ascii="Times New Roman" w:hAnsi="Times New Roman" w:eastAsia="仿宋_GB2312" w:cs="Times New Roman"/>
          <w:color w:val="000000"/>
          <w:kern w:val="0"/>
          <w:sz w:val="32"/>
          <w:szCs w:val="32"/>
          <w:lang w:bidi="ar"/>
        </w:rPr>
        <w:t>加强</w:t>
      </w:r>
      <w:r>
        <w:rPr>
          <w:rFonts w:hint="default" w:ascii="Times New Roman" w:hAnsi="Times New Roman" w:eastAsia="仿宋_GB2312" w:cs="Times New Roman"/>
          <w:color w:val="000000"/>
          <w:kern w:val="0"/>
          <w:sz w:val="32"/>
          <w:szCs w:val="32"/>
          <w:lang w:eastAsia="zh-CN" w:bidi="ar"/>
        </w:rPr>
        <w:t>粤东粤西粤北</w:t>
      </w:r>
      <w:r>
        <w:rPr>
          <w:rFonts w:hint="default" w:ascii="Times New Roman" w:hAnsi="Times New Roman" w:eastAsia="仿宋_GB2312" w:cs="Times New Roman"/>
          <w:color w:val="000000"/>
          <w:kern w:val="0"/>
          <w:sz w:val="32"/>
          <w:szCs w:val="32"/>
          <w:lang w:bidi="ar"/>
        </w:rPr>
        <w:t>基层医疗人才队伍和服务能力建设</w:t>
      </w:r>
      <w:r>
        <w:rPr>
          <w:rFonts w:hint="default" w:ascii="Times New Roman" w:hAnsi="Times New Roman" w:eastAsia="仿宋_GB2312" w:cs="Times New Roman"/>
          <w:color w:val="000000"/>
          <w:kern w:val="0"/>
          <w:sz w:val="32"/>
          <w:szCs w:val="32"/>
          <w:lang w:eastAsia="zh-CN" w:bidi="ar"/>
        </w:rPr>
        <w:t>项目</w:t>
      </w:r>
      <w:r>
        <w:rPr>
          <w:rFonts w:hint="default" w:ascii="Times New Roman" w:hAnsi="Times New Roman" w:eastAsia="仿宋_GB2312" w:cs="Times New Roman"/>
          <w:color w:val="000000"/>
          <w:kern w:val="0"/>
          <w:sz w:val="32"/>
          <w:szCs w:val="32"/>
          <w:lang w:bidi="ar"/>
        </w:rPr>
        <w:t>省级财政资金绩效评价工作。</w:t>
      </w:r>
      <w:r>
        <w:rPr>
          <w:rFonts w:hint="default" w:ascii="Times New Roman" w:hAnsi="Times New Roman" w:eastAsia="仿宋_GB2312" w:cs="Times New Roman"/>
          <w:color w:val="000000"/>
          <w:kern w:val="0"/>
          <w:sz w:val="32"/>
          <w:szCs w:val="32"/>
        </w:rPr>
        <w:t>现将</w:t>
      </w:r>
      <w:r>
        <w:rPr>
          <w:rFonts w:hint="default" w:ascii="Times New Roman" w:hAnsi="Times New Roman" w:eastAsia="仿宋_GB2312" w:cs="Times New Roman"/>
          <w:color w:val="000000"/>
          <w:kern w:val="0"/>
          <w:sz w:val="32"/>
          <w:szCs w:val="32"/>
          <w:lang w:eastAsia="zh-CN"/>
        </w:rPr>
        <w:t>有关</w:t>
      </w:r>
      <w:r>
        <w:rPr>
          <w:rFonts w:hint="default" w:ascii="Times New Roman" w:hAnsi="Times New Roman" w:eastAsia="仿宋_GB2312" w:cs="Times New Roman"/>
          <w:color w:val="000000"/>
          <w:kern w:val="0"/>
          <w:sz w:val="32"/>
          <w:szCs w:val="32"/>
        </w:rPr>
        <w:t>专项资金使用绩效</w:t>
      </w:r>
      <w:r>
        <w:rPr>
          <w:rFonts w:hint="default" w:ascii="Times New Roman" w:hAnsi="Times New Roman" w:eastAsia="仿宋_GB2312" w:cs="Times New Roman"/>
          <w:color w:val="000000"/>
          <w:kern w:val="0"/>
          <w:sz w:val="32"/>
          <w:szCs w:val="32"/>
          <w:lang w:eastAsia="zh-CN"/>
        </w:rPr>
        <w:t>评价情况</w:t>
      </w:r>
      <w:r>
        <w:rPr>
          <w:rFonts w:hint="default" w:ascii="Times New Roman" w:hAnsi="Times New Roman" w:eastAsia="仿宋_GB2312" w:cs="Times New Roman"/>
          <w:color w:val="000000"/>
          <w:kern w:val="0"/>
          <w:sz w:val="32"/>
          <w:szCs w:val="32"/>
        </w:rPr>
        <w:t>报告如下：</w:t>
      </w:r>
    </w:p>
    <w:p>
      <w:pPr>
        <w:widowControl/>
        <w:spacing w:beforeLines="0" w:afterLines="0" w:line="560" w:lineRule="exact"/>
        <w:ind w:firstLine="606" w:firstLineChars="200"/>
        <w:rPr>
          <w:rFonts w:hint="default" w:ascii="Times New Roman" w:hAnsi="Times New Roman" w:eastAsia="黑体" w:cs="Times New Roman"/>
          <w:b w:val="0"/>
          <w:bCs w:val="0"/>
          <w:color w:val="000000"/>
          <w:kern w:val="0"/>
          <w:sz w:val="32"/>
          <w:szCs w:val="32"/>
          <w:lang w:bidi="ar"/>
        </w:rPr>
      </w:pPr>
      <w:r>
        <w:rPr>
          <w:rFonts w:hint="default" w:ascii="Times New Roman" w:hAnsi="Times New Roman" w:eastAsia="黑体" w:cs="Times New Roman"/>
          <w:b w:val="0"/>
          <w:bCs w:val="0"/>
          <w:color w:val="000000"/>
          <w:kern w:val="0"/>
          <w:sz w:val="32"/>
          <w:szCs w:val="32"/>
          <w:lang w:bidi="ar"/>
        </w:rPr>
        <w:t>一、基本情况</w:t>
      </w:r>
    </w:p>
    <w:p>
      <w:pPr>
        <w:widowControl/>
        <w:spacing w:beforeLines="0" w:afterLines="0" w:line="560" w:lineRule="exact"/>
        <w:ind w:firstLine="606" w:firstLineChars="200"/>
        <w:rPr>
          <w:rFonts w:hint="default" w:ascii="Times New Roman" w:hAnsi="Times New Roman" w:eastAsia="仿宋_GB2312" w:cs="Times New Roman"/>
          <w:b w:val="0"/>
          <w:bCs w:val="0"/>
          <w:color w:val="000000"/>
          <w:kern w:val="0"/>
          <w:sz w:val="32"/>
          <w:szCs w:val="32"/>
          <w:lang w:eastAsia="zh-CN" w:bidi="ar"/>
        </w:rPr>
      </w:pPr>
      <w:r>
        <w:rPr>
          <w:rFonts w:hint="default" w:ascii="Times New Roman" w:hAnsi="Times New Roman" w:eastAsia="楷体_GB2312" w:cs="Times New Roman"/>
          <w:b w:val="0"/>
          <w:bCs w:val="0"/>
          <w:color w:val="000000"/>
          <w:kern w:val="0"/>
          <w:sz w:val="32"/>
          <w:szCs w:val="32"/>
          <w:lang w:bidi="ar"/>
        </w:rPr>
        <w:t>（一）项目</w:t>
      </w:r>
      <w:r>
        <w:rPr>
          <w:rFonts w:hint="default" w:ascii="Times New Roman" w:hAnsi="Times New Roman" w:eastAsia="楷体_GB2312" w:cs="Times New Roman"/>
          <w:b w:val="0"/>
          <w:bCs w:val="0"/>
          <w:color w:val="000000"/>
          <w:kern w:val="0"/>
          <w:sz w:val="32"/>
          <w:szCs w:val="32"/>
          <w:lang w:eastAsia="zh-CN" w:bidi="ar"/>
        </w:rPr>
        <w:t>实施</w:t>
      </w:r>
      <w:r>
        <w:rPr>
          <w:rFonts w:hint="default" w:ascii="Times New Roman" w:hAnsi="Times New Roman" w:eastAsia="楷体_GB2312" w:cs="Times New Roman"/>
          <w:b w:val="0"/>
          <w:bCs w:val="0"/>
          <w:color w:val="000000"/>
          <w:kern w:val="0"/>
          <w:sz w:val="32"/>
          <w:szCs w:val="32"/>
          <w:lang w:bidi="ar"/>
        </w:rPr>
        <w:t>背景</w:t>
      </w:r>
      <w:r>
        <w:rPr>
          <w:rFonts w:hint="default" w:ascii="Times New Roman" w:hAnsi="Times New Roman" w:eastAsia="楷体_GB2312" w:cs="Times New Roman"/>
          <w:b w:val="0"/>
          <w:bCs w:val="0"/>
          <w:color w:val="000000"/>
          <w:kern w:val="0"/>
          <w:sz w:val="32"/>
          <w:szCs w:val="32"/>
          <w:lang w:eastAsia="zh-CN" w:bidi="ar"/>
        </w:rPr>
        <w:t>。</w:t>
      </w:r>
    </w:p>
    <w:p>
      <w:pPr>
        <w:widowControl/>
        <w:spacing w:beforeLines="0" w:afterLines="0" w:line="560" w:lineRule="exact"/>
        <w:ind w:firstLine="606" w:firstLineChars="200"/>
        <w:jc w:val="both"/>
        <w:rPr>
          <w:rFonts w:hint="default" w:ascii="Times New Roman" w:hAnsi="Times New Roman" w:eastAsia="仿宋_GB2312" w:cs="Times New Roman"/>
          <w:color w:val="000000"/>
          <w:sz w:val="32"/>
          <w:szCs w:val="32"/>
          <w:lang w:eastAsia="zh-CN" w:bidi="ar"/>
        </w:rPr>
        <w:sectPr>
          <w:footerReference r:id="rId5" w:type="default"/>
          <w:pgSz w:w="11906" w:h="16838"/>
          <w:pgMar w:top="2041" w:right="1531" w:bottom="2041" w:left="1531" w:header="851" w:footer="1332" w:gutter="0"/>
          <w:pgNumType w:fmt="numberInDash"/>
          <w:cols w:space="720" w:num="1"/>
          <w:rtlGutter w:val="0"/>
          <w:docGrid w:type="linesAndChars" w:linePitch="579" w:charSpace="-3633"/>
        </w:sectPr>
      </w:pPr>
      <w:r>
        <w:rPr>
          <w:rFonts w:hint="default" w:ascii="Times New Roman" w:hAnsi="Times New Roman" w:eastAsia="仿宋_GB2312" w:cs="Times New Roman"/>
          <w:color w:val="000000"/>
          <w:sz w:val="32"/>
          <w:szCs w:val="32"/>
          <w:lang w:bidi="ar"/>
        </w:rPr>
        <w:t>根据</w:t>
      </w:r>
      <w:r>
        <w:rPr>
          <w:rFonts w:hint="default" w:ascii="Times New Roman" w:hAnsi="Times New Roman" w:eastAsia="仿宋_GB2312" w:cs="Times New Roman"/>
          <w:color w:val="000000"/>
          <w:sz w:val="32"/>
          <w:szCs w:val="32"/>
          <w:lang w:eastAsia="zh-CN" w:bidi="ar"/>
        </w:rPr>
        <w:t>时任</w:t>
      </w:r>
      <w:r>
        <w:rPr>
          <w:rFonts w:hint="default" w:ascii="Times New Roman" w:hAnsi="Times New Roman" w:eastAsia="仿宋_GB2312" w:cs="Times New Roman"/>
          <w:color w:val="000000"/>
          <w:sz w:val="32"/>
          <w:szCs w:val="32"/>
          <w:lang w:bidi="ar"/>
        </w:rPr>
        <w:t>省委</w:t>
      </w:r>
      <w:r>
        <w:rPr>
          <w:rFonts w:hint="default" w:ascii="Times New Roman" w:hAnsi="Times New Roman" w:eastAsia="仿宋_GB2312" w:cs="Times New Roman"/>
          <w:color w:val="000000"/>
          <w:sz w:val="32"/>
          <w:szCs w:val="32"/>
          <w:lang w:eastAsia="zh-CN" w:bidi="ar"/>
        </w:rPr>
        <w:t>、省政府主要领导关于加强粤东粤西粤北地区基层医疗卫生人才队伍和提高服务能力建设有关</w:t>
      </w:r>
      <w:r>
        <w:rPr>
          <w:rFonts w:hint="default" w:ascii="Times New Roman" w:hAnsi="Times New Roman" w:eastAsia="仿宋_GB2312" w:cs="Times New Roman"/>
          <w:color w:val="000000"/>
          <w:sz w:val="32"/>
          <w:szCs w:val="32"/>
          <w:lang w:bidi="ar"/>
        </w:rPr>
        <w:t>指示</w:t>
      </w:r>
      <w:r>
        <w:rPr>
          <w:rFonts w:hint="default" w:ascii="Times New Roman" w:hAnsi="Times New Roman" w:eastAsia="仿宋_GB2312" w:cs="Times New Roman"/>
          <w:color w:val="000000"/>
          <w:sz w:val="32"/>
          <w:szCs w:val="32"/>
          <w:lang w:eastAsia="zh-CN" w:bidi="ar"/>
        </w:rPr>
        <w:t>批示</w:t>
      </w:r>
      <w:r>
        <w:rPr>
          <w:rFonts w:hint="default" w:ascii="Times New Roman" w:hAnsi="Times New Roman" w:eastAsia="仿宋_GB2312" w:cs="Times New Roman"/>
          <w:color w:val="000000"/>
          <w:sz w:val="32"/>
          <w:szCs w:val="32"/>
          <w:lang w:bidi="ar"/>
        </w:rPr>
        <w:t>精神，结合省委、省政府建设卫生强省的决策部署，</w:t>
      </w:r>
      <w:r>
        <w:rPr>
          <w:rFonts w:hint="default" w:ascii="Times New Roman" w:hAnsi="Times New Roman" w:eastAsia="仿宋_GB2312" w:cs="Times New Roman"/>
          <w:color w:val="000000"/>
          <w:sz w:val="32"/>
          <w:szCs w:val="32"/>
          <w:lang w:eastAsia="zh-CN" w:bidi="ar"/>
        </w:rPr>
        <w:t>我委联合</w:t>
      </w:r>
      <w:r>
        <w:rPr>
          <w:rFonts w:hint="default" w:ascii="Times New Roman" w:hAnsi="Times New Roman" w:eastAsia="仿宋_GB2312" w:cs="Times New Roman"/>
          <w:color w:val="000000"/>
          <w:sz w:val="32"/>
          <w:szCs w:val="32"/>
          <w:lang w:bidi="ar"/>
        </w:rPr>
        <w:t>省财政厅</w:t>
      </w:r>
      <w:r>
        <w:rPr>
          <w:rFonts w:hint="default" w:ascii="Times New Roman" w:hAnsi="Times New Roman" w:eastAsia="仿宋_GB2312" w:cs="Times New Roman"/>
          <w:color w:val="000000"/>
          <w:sz w:val="32"/>
          <w:szCs w:val="32"/>
          <w:lang w:eastAsia="zh-CN" w:bidi="ar"/>
        </w:rPr>
        <w:t>、省发展改革委等部门</w:t>
      </w:r>
      <w:r>
        <w:rPr>
          <w:rFonts w:hint="default" w:ascii="Times New Roman" w:hAnsi="Times New Roman" w:eastAsia="仿宋_GB2312" w:cs="Times New Roman"/>
          <w:color w:val="000000"/>
          <w:sz w:val="32"/>
          <w:szCs w:val="32"/>
          <w:lang w:bidi="ar"/>
        </w:rPr>
        <w:t>经过对我省尤其是</w:t>
      </w:r>
      <w:r>
        <w:rPr>
          <w:rFonts w:hint="default" w:ascii="Times New Roman" w:hAnsi="Times New Roman" w:eastAsia="仿宋_GB2312" w:cs="Times New Roman"/>
          <w:color w:val="000000"/>
          <w:sz w:val="32"/>
          <w:szCs w:val="32"/>
          <w:lang w:eastAsia="zh-CN" w:bidi="ar"/>
        </w:rPr>
        <w:t>粤东粤西粤北</w:t>
      </w:r>
      <w:r>
        <w:rPr>
          <w:rFonts w:hint="default" w:ascii="Times New Roman" w:hAnsi="Times New Roman" w:eastAsia="仿宋_GB2312" w:cs="Times New Roman"/>
          <w:color w:val="000000"/>
          <w:sz w:val="32"/>
          <w:szCs w:val="32"/>
          <w:lang w:bidi="ar"/>
        </w:rPr>
        <w:t>地区县级以下医疗卫生机构的现状、短板及存在问题进了充分摸底调</w:t>
      </w:r>
      <w:r>
        <w:rPr>
          <w:rFonts w:hint="default" w:ascii="Times New Roman" w:hAnsi="Times New Roman" w:eastAsia="仿宋_GB2312" w:cs="Times New Roman"/>
          <w:color w:val="000000"/>
          <w:sz w:val="32"/>
          <w:szCs w:val="32"/>
          <w:lang w:eastAsia="zh-CN" w:bidi="ar"/>
        </w:rPr>
        <w:t>查</w:t>
      </w:r>
      <w:r>
        <w:rPr>
          <w:rFonts w:hint="default" w:ascii="Times New Roman" w:hAnsi="Times New Roman" w:eastAsia="仿宋_GB2312" w:cs="Times New Roman"/>
          <w:color w:val="000000"/>
          <w:sz w:val="32"/>
          <w:szCs w:val="32"/>
          <w:lang w:bidi="ar"/>
        </w:rPr>
        <w:t>，提出“突出重点、补齐短板”的原则，以解决</w:t>
      </w:r>
      <w:r>
        <w:rPr>
          <w:rFonts w:hint="default" w:ascii="Times New Roman" w:hAnsi="Times New Roman" w:eastAsia="仿宋_GB2312" w:cs="Times New Roman"/>
          <w:color w:val="000000"/>
          <w:sz w:val="32"/>
          <w:szCs w:val="32"/>
          <w:lang w:eastAsia="zh-CN" w:bidi="ar"/>
        </w:rPr>
        <w:t>基层</w:t>
      </w:r>
      <w:r>
        <w:rPr>
          <w:rFonts w:hint="default" w:ascii="Times New Roman" w:hAnsi="Times New Roman" w:eastAsia="仿宋_GB2312" w:cs="Times New Roman"/>
          <w:color w:val="000000"/>
          <w:sz w:val="32"/>
          <w:szCs w:val="32"/>
          <w:lang w:bidi="ar"/>
        </w:rPr>
        <w:t>患者“看病难看病贵”的问题为最终目标，以强化基层</w:t>
      </w:r>
      <w:r>
        <w:rPr>
          <w:rFonts w:hint="default" w:ascii="Times New Roman" w:hAnsi="Times New Roman" w:eastAsia="仿宋_GB2312" w:cs="Times New Roman"/>
          <w:color w:val="000000"/>
          <w:sz w:val="32"/>
          <w:szCs w:val="32"/>
          <w:lang w:eastAsia="zh-CN" w:bidi="ar"/>
        </w:rPr>
        <w:t>医疗</w:t>
      </w:r>
      <w:r>
        <w:rPr>
          <w:rFonts w:hint="default" w:ascii="Times New Roman" w:hAnsi="Times New Roman" w:eastAsia="仿宋_GB2312" w:cs="Times New Roman"/>
          <w:color w:val="000000"/>
          <w:sz w:val="32"/>
          <w:szCs w:val="32"/>
          <w:lang w:bidi="ar"/>
        </w:rPr>
        <w:t>卫生资源配置和加强基</w:t>
      </w:r>
      <w:r>
        <w:rPr>
          <w:rFonts w:hint="default" w:ascii="Times New Roman" w:hAnsi="Times New Roman" w:eastAsia="仿宋_GB2312" w:cs="Times New Roman"/>
          <w:color w:val="000000"/>
          <w:sz w:val="32"/>
          <w:szCs w:val="32"/>
          <w:lang w:eastAsia="zh-CN" w:bidi="ar"/>
        </w:rPr>
        <w:t>层</w:t>
      </w:r>
      <w:r>
        <w:rPr>
          <w:rFonts w:hint="default" w:ascii="Times New Roman" w:hAnsi="Times New Roman" w:eastAsia="仿宋_GB2312" w:cs="Times New Roman"/>
          <w:color w:val="000000"/>
          <w:sz w:val="32"/>
          <w:szCs w:val="32"/>
          <w:lang w:bidi="ar"/>
        </w:rPr>
        <w:t>医疗</w:t>
      </w:r>
      <w:r>
        <w:rPr>
          <w:rFonts w:hint="default" w:ascii="Times New Roman" w:hAnsi="Times New Roman" w:eastAsia="仿宋_GB2312" w:cs="Times New Roman"/>
          <w:color w:val="000000"/>
          <w:sz w:val="32"/>
          <w:szCs w:val="32"/>
          <w:lang w:eastAsia="zh-CN" w:bidi="ar"/>
        </w:rPr>
        <w:t>卫生</w:t>
      </w:r>
      <w:r>
        <w:rPr>
          <w:rFonts w:hint="default" w:ascii="Times New Roman" w:hAnsi="Times New Roman" w:eastAsia="仿宋_GB2312" w:cs="Times New Roman"/>
          <w:color w:val="000000"/>
          <w:sz w:val="32"/>
          <w:szCs w:val="32"/>
          <w:lang w:bidi="ar"/>
        </w:rPr>
        <w:t>机构服务能力作为主要措施，以大力加强卫生人才队伍建设作为重要支撑，以聚焦现有体制改革作为组织保障，通过财政专项支持逐步解决基层医疗</w:t>
      </w:r>
      <w:r>
        <w:rPr>
          <w:rFonts w:hint="default" w:ascii="Times New Roman" w:hAnsi="Times New Roman" w:eastAsia="仿宋_GB2312" w:cs="Times New Roman"/>
          <w:color w:val="000000"/>
          <w:sz w:val="32"/>
          <w:szCs w:val="32"/>
          <w:lang w:eastAsia="zh-CN" w:bidi="ar"/>
        </w:rPr>
        <w:t>卫生</w:t>
      </w:r>
      <w:r>
        <w:rPr>
          <w:rFonts w:hint="default" w:ascii="Times New Roman" w:hAnsi="Times New Roman" w:eastAsia="仿宋_GB2312" w:cs="Times New Roman"/>
          <w:color w:val="000000"/>
          <w:sz w:val="32"/>
          <w:szCs w:val="32"/>
          <w:lang w:bidi="ar"/>
        </w:rPr>
        <w:t>机构服务能力不足的问题。2017年1月16日，</w:t>
      </w:r>
      <w:r>
        <w:rPr>
          <w:rFonts w:hint="default" w:ascii="Times New Roman" w:hAnsi="Times New Roman" w:eastAsia="仿宋_GB2312" w:cs="Times New Roman"/>
          <w:color w:val="000000"/>
          <w:sz w:val="32"/>
          <w:szCs w:val="32"/>
          <w:lang w:eastAsia="zh-CN" w:bidi="ar"/>
        </w:rPr>
        <w:t>省委、省政府出台</w:t>
      </w:r>
      <w:r>
        <w:rPr>
          <w:rFonts w:hint="default" w:ascii="Times New Roman" w:hAnsi="Times New Roman" w:eastAsia="仿宋_GB2312" w:cs="Times New Roman"/>
          <w:color w:val="000000"/>
          <w:sz w:val="32"/>
          <w:szCs w:val="32"/>
          <w:lang w:bidi="ar"/>
        </w:rPr>
        <w:t>《中共广东省委办公厅 广东省人民政府办公厅印发关于加强基层医疗卫生服务能力建设的意见的通知》（粤办发</w:t>
      </w:r>
      <w:r>
        <w:rPr>
          <w:rFonts w:hint="default" w:ascii="Times New Roman" w:hAnsi="Times New Roman" w:eastAsia="仿宋_GB2312" w:cs="Times New Roman"/>
          <w:color w:val="000000"/>
          <w:kern w:val="0"/>
          <w:sz w:val="32"/>
          <w:szCs w:val="32"/>
          <w:lang w:bidi="ar"/>
        </w:rPr>
        <w:t>〔20</w:t>
      </w:r>
      <w:r>
        <w:rPr>
          <w:rFonts w:hint="default" w:ascii="Times New Roman" w:hAnsi="Times New Roman" w:eastAsia="仿宋_GB2312" w:cs="Times New Roman"/>
          <w:color w:val="000000"/>
          <w:kern w:val="0"/>
          <w:sz w:val="32"/>
          <w:szCs w:val="32"/>
          <w:lang w:val="en-US" w:eastAsia="zh-CN" w:bidi="ar"/>
        </w:rPr>
        <w:t>17</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sz w:val="32"/>
          <w:szCs w:val="32"/>
          <w:lang w:bidi="ar"/>
        </w:rPr>
        <w:t>2号）</w:t>
      </w:r>
      <w:r>
        <w:rPr>
          <w:rFonts w:hint="default" w:ascii="Times New Roman" w:hAnsi="Times New Roman" w:eastAsia="仿宋_GB2312" w:cs="Times New Roman"/>
          <w:color w:val="000000"/>
          <w:sz w:val="32"/>
          <w:szCs w:val="32"/>
          <w:lang w:eastAsia="zh-CN" w:bidi="ar"/>
        </w:rPr>
        <w:t>，提出</w:t>
      </w:r>
      <w:r>
        <w:rPr>
          <w:rFonts w:hint="default" w:ascii="Times New Roman" w:hAnsi="Times New Roman" w:eastAsia="仿宋_GB2312" w:cs="Times New Roman"/>
          <w:color w:val="000000"/>
          <w:sz w:val="32"/>
          <w:szCs w:val="32"/>
          <w:lang w:bidi="ar"/>
        </w:rPr>
        <w:t>着力解决医疗卫生资源配置不均衡、基层医疗卫生服务能力弱的问题，加快建立分级诊疗制度，就近满足人民群众基本医疗卫生服务需求。2017年2月24日，</w:t>
      </w:r>
      <w:r>
        <w:rPr>
          <w:rFonts w:hint="default" w:ascii="Times New Roman" w:hAnsi="Times New Roman" w:eastAsia="仿宋_GB2312" w:cs="Times New Roman"/>
          <w:color w:val="000000"/>
          <w:sz w:val="32"/>
          <w:szCs w:val="32"/>
          <w:lang w:eastAsia="zh-CN" w:bidi="ar"/>
        </w:rPr>
        <w:t>省财政厅和原卫生计生委联合</w:t>
      </w:r>
    </w:p>
    <w:p>
      <w:pPr>
        <w:widowControl/>
        <w:spacing w:beforeLines="0" w:afterLines="0" w:line="560" w:lineRule="exact"/>
        <w:ind w:firstLine="606" w:firstLineChars="20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lang w:eastAsia="zh-CN" w:bidi="ar"/>
        </w:rPr>
        <w:t>出台配套文件</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sz w:val="32"/>
          <w:szCs w:val="32"/>
          <w:lang w:eastAsia="zh-CN" w:bidi="ar"/>
        </w:rPr>
        <w:t>广东</w:t>
      </w:r>
      <w:r>
        <w:rPr>
          <w:rFonts w:hint="default" w:ascii="Times New Roman" w:hAnsi="Times New Roman" w:eastAsia="仿宋_GB2312" w:cs="Times New Roman"/>
          <w:color w:val="000000"/>
          <w:sz w:val="32"/>
          <w:szCs w:val="32"/>
          <w:lang w:bidi="ar"/>
        </w:rPr>
        <w:t>省财政厅</w:t>
      </w:r>
      <w:r>
        <w:rPr>
          <w:rFonts w:hint="default" w:ascii="Times New Roman" w:hAnsi="Times New Roman" w:eastAsia="仿宋_GB2312" w:cs="Times New Roman"/>
          <w:color w:val="000000"/>
          <w:sz w:val="32"/>
          <w:szCs w:val="32"/>
          <w:lang w:val="en-US" w:eastAsia="zh-CN" w:bidi="ar"/>
        </w:rPr>
        <w:t xml:space="preserve"> </w:t>
      </w:r>
      <w:r>
        <w:rPr>
          <w:rFonts w:hint="default" w:ascii="Times New Roman" w:hAnsi="Times New Roman" w:eastAsia="仿宋_GB2312" w:cs="Times New Roman"/>
          <w:color w:val="000000"/>
          <w:sz w:val="32"/>
          <w:szCs w:val="32"/>
          <w:lang w:eastAsia="zh-CN" w:bidi="ar"/>
        </w:rPr>
        <w:t>广东省卫生和计划生育委员会</w:t>
      </w:r>
      <w:r>
        <w:rPr>
          <w:rFonts w:hint="default" w:ascii="Times New Roman" w:hAnsi="Times New Roman" w:eastAsia="仿宋_GB2312" w:cs="Times New Roman"/>
          <w:color w:val="000000"/>
          <w:kern w:val="0"/>
          <w:sz w:val="32"/>
          <w:szCs w:val="32"/>
          <w:lang w:bidi="ar"/>
        </w:rPr>
        <w:t>关于印发财政支持加强基层医疗卫生服务能力建设的实施方案的通知》（粤财</w:t>
      </w:r>
      <w:r>
        <w:rPr>
          <w:rFonts w:hint="default" w:ascii="Times New Roman" w:hAnsi="Times New Roman" w:eastAsia="仿宋_GB2312" w:cs="Times New Roman"/>
          <w:color w:val="000000"/>
          <w:kern w:val="0"/>
          <w:sz w:val="32"/>
          <w:szCs w:val="32"/>
          <w:lang w:val="en-US" w:eastAsia="zh-CN" w:bidi="ar"/>
        </w:rPr>
        <w:t>社</w:t>
      </w:r>
      <w:r>
        <w:rPr>
          <w:rFonts w:hint="default" w:ascii="Times New Roman" w:hAnsi="Times New Roman" w:eastAsia="仿宋_GB2312" w:cs="Times New Roman"/>
          <w:color w:val="000000"/>
          <w:kern w:val="0"/>
          <w:sz w:val="32"/>
          <w:szCs w:val="32"/>
          <w:lang w:bidi="ar"/>
        </w:rPr>
        <w:t>〔20</w:t>
      </w:r>
      <w:r>
        <w:rPr>
          <w:rFonts w:hint="default" w:ascii="Times New Roman" w:hAnsi="Times New Roman" w:eastAsia="仿宋_GB2312" w:cs="Times New Roman"/>
          <w:color w:val="000000"/>
          <w:kern w:val="0"/>
          <w:sz w:val="32"/>
          <w:szCs w:val="32"/>
          <w:lang w:val="en-US" w:eastAsia="zh-CN" w:bidi="ar"/>
        </w:rPr>
        <w:t>17</w:t>
      </w:r>
      <w:r>
        <w:rPr>
          <w:rFonts w:hint="default" w:ascii="Times New Roman" w:hAnsi="Times New Roman" w:eastAsia="仿宋_GB2312" w:cs="Times New Roman"/>
          <w:color w:val="000000"/>
          <w:kern w:val="0"/>
          <w:sz w:val="32"/>
          <w:szCs w:val="32"/>
          <w:lang w:bidi="ar"/>
        </w:rPr>
        <w:t>〕33号）</w:t>
      </w:r>
      <w:r>
        <w:rPr>
          <w:rFonts w:hint="default" w:ascii="Times New Roman" w:hAnsi="Times New Roman" w:eastAsia="仿宋_GB2312" w:cs="Times New Roman"/>
          <w:color w:val="000000"/>
          <w:kern w:val="0"/>
          <w:sz w:val="32"/>
          <w:szCs w:val="32"/>
          <w:lang w:eastAsia="zh-CN" w:bidi="ar"/>
        </w:rPr>
        <w:t>，明</w:t>
      </w:r>
      <w:r>
        <w:rPr>
          <w:rFonts w:hint="default" w:ascii="Times New Roman" w:hAnsi="Times New Roman" w:eastAsia="仿宋_GB2312" w:cs="Times New Roman"/>
          <w:color w:val="000000"/>
          <w:kern w:val="0"/>
          <w:sz w:val="32"/>
          <w:szCs w:val="32"/>
          <w:lang w:bidi="ar"/>
        </w:rPr>
        <w:t>确</w:t>
      </w:r>
      <w:r>
        <w:rPr>
          <w:rFonts w:hint="default" w:ascii="Times New Roman" w:hAnsi="Times New Roman" w:eastAsia="仿宋_GB2312" w:cs="Times New Roman"/>
          <w:color w:val="000000"/>
          <w:kern w:val="0"/>
          <w:sz w:val="32"/>
          <w:szCs w:val="32"/>
          <w:lang w:eastAsia="zh-CN" w:bidi="ar"/>
        </w:rPr>
        <w:t>了各级财政投入支持</w:t>
      </w:r>
      <w:r>
        <w:rPr>
          <w:rFonts w:hint="default" w:ascii="Times New Roman" w:hAnsi="Times New Roman" w:eastAsia="仿宋_GB2312" w:cs="Times New Roman"/>
          <w:color w:val="000000"/>
          <w:kern w:val="0"/>
          <w:sz w:val="32"/>
          <w:szCs w:val="32"/>
          <w:lang w:bidi="ar"/>
        </w:rPr>
        <w:t>加强</w:t>
      </w:r>
      <w:r>
        <w:rPr>
          <w:rFonts w:hint="default" w:ascii="Times New Roman" w:hAnsi="Times New Roman" w:eastAsia="仿宋_GB2312" w:cs="Times New Roman"/>
          <w:color w:val="000000"/>
          <w:kern w:val="0"/>
          <w:sz w:val="32"/>
          <w:szCs w:val="32"/>
          <w:lang w:eastAsia="zh-CN" w:bidi="ar"/>
        </w:rPr>
        <w:t>粤东粤西粤北</w:t>
      </w:r>
      <w:r>
        <w:rPr>
          <w:rFonts w:hint="default" w:ascii="Times New Roman" w:hAnsi="Times New Roman" w:eastAsia="仿宋_GB2312" w:cs="Times New Roman"/>
          <w:color w:val="000000"/>
          <w:kern w:val="0"/>
          <w:sz w:val="32"/>
          <w:szCs w:val="32"/>
          <w:lang w:bidi="ar"/>
        </w:rPr>
        <w:t>基层医疗人才队伍和服务能力建设项目</w:t>
      </w:r>
      <w:r>
        <w:rPr>
          <w:rFonts w:hint="default" w:ascii="Times New Roman" w:hAnsi="Times New Roman" w:eastAsia="仿宋_GB2312" w:cs="Times New Roman"/>
          <w:color w:val="000000"/>
          <w:kern w:val="0"/>
          <w:sz w:val="32"/>
          <w:szCs w:val="32"/>
          <w:lang w:eastAsia="zh-CN" w:bidi="ar"/>
        </w:rPr>
        <w:t>建设，</w:t>
      </w:r>
      <w:r>
        <w:rPr>
          <w:rFonts w:hint="default" w:ascii="Times New Roman" w:hAnsi="Times New Roman" w:eastAsia="仿宋_GB2312" w:cs="Times New Roman"/>
          <w:color w:val="000000"/>
          <w:kern w:val="0"/>
          <w:sz w:val="32"/>
          <w:szCs w:val="32"/>
          <w:lang w:bidi="ar"/>
        </w:rPr>
        <w:t>具体措施包括扩大订单定向招生计划</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加大全科医生培训力度</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实施产科、儿科医生转岗培训项目</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新增基层医疗卫生机枸全科医生特设岗位补助项目</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推进</w:t>
      </w:r>
      <w:r>
        <w:rPr>
          <w:rFonts w:hint="default" w:ascii="Times New Roman" w:hAnsi="Times New Roman" w:eastAsia="仿宋_GB2312" w:cs="Times New Roman"/>
          <w:color w:val="000000"/>
          <w:kern w:val="0"/>
          <w:sz w:val="32"/>
          <w:szCs w:val="32"/>
          <w:lang w:eastAsia="zh-CN" w:bidi="ar"/>
        </w:rPr>
        <w:t>粤东粤西粤北</w:t>
      </w:r>
      <w:r>
        <w:rPr>
          <w:rFonts w:hint="default" w:ascii="Times New Roman" w:hAnsi="Times New Roman" w:eastAsia="仿宋_GB2312" w:cs="Times New Roman"/>
          <w:color w:val="000000"/>
          <w:kern w:val="0"/>
          <w:sz w:val="32"/>
          <w:szCs w:val="32"/>
          <w:lang w:bidi="ar"/>
        </w:rPr>
        <w:t>地区乡镇卫生院</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村卫生站</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远程医疗平台建设。</w:t>
      </w:r>
    </w:p>
    <w:p>
      <w:pPr>
        <w:widowControl/>
        <w:spacing w:beforeLines="0" w:afterLines="0" w:line="560" w:lineRule="exact"/>
        <w:ind w:firstLine="606" w:firstLineChars="200"/>
        <w:jc w:val="both"/>
        <w:rPr>
          <w:rFonts w:hint="default" w:ascii="Times New Roman" w:hAnsi="Times New Roman" w:eastAsia="仿宋_GB2312" w:cs="Times New Roman"/>
          <w:bCs/>
          <w:color w:val="000000"/>
          <w:kern w:val="0"/>
          <w:sz w:val="32"/>
          <w:szCs w:val="32"/>
          <w:lang w:eastAsia="zh-CN"/>
        </w:rPr>
      </w:pPr>
      <w:r>
        <w:rPr>
          <w:rFonts w:hint="default" w:ascii="Times New Roman" w:hAnsi="Times New Roman" w:eastAsia="仿宋_GB2312" w:cs="Times New Roman"/>
          <w:color w:val="000000"/>
          <w:sz w:val="32"/>
          <w:szCs w:val="32"/>
        </w:rPr>
        <w:t>2019年，</w:t>
      </w:r>
      <w:r>
        <w:rPr>
          <w:rFonts w:hint="default" w:ascii="Times New Roman" w:hAnsi="Times New Roman" w:eastAsia="仿宋_GB2312" w:cs="Times New Roman"/>
          <w:color w:val="000000"/>
          <w:sz w:val="32"/>
          <w:szCs w:val="32"/>
          <w:lang w:eastAsia="zh-CN"/>
        </w:rPr>
        <w:t>我委</w:t>
      </w:r>
      <w:r>
        <w:rPr>
          <w:rFonts w:hint="default" w:ascii="Times New Roman" w:hAnsi="Times New Roman" w:eastAsia="仿宋_GB2312" w:cs="Times New Roman"/>
          <w:color w:val="000000"/>
          <w:sz w:val="32"/>
          <w:szCs w:val="32"/>
        </w:rPr>
        <w:t>高标准</w:t>
      </w:r>
      <w:r>
        <w:rPr>
          <w:rFonts w:hint="default" w:ascii="Times New Roman" w:hAnsi="Times New Roman" w:eastAsia="仿宋_GB2312" w:cs="Times New Roman"/>
          <w:color w:val="000000"/>
          <w:sz w:val="32"/>
          <w:szCs w:val="32"/>
          <w:lang w:eastAsia="zh-CN"/>
        </w:rPr>
        <w:t>高质量</w:t>
      </w:r>
      <w:r>
        <w:rPr>
          <w:rFonts w:hint="default" w:ascii="Times New Roman" w:hAnsi="Times New Roman" w:eastAsia="仿宋_GB2312" w:cs="Times New Roman"/>
          <w:color w:val="000000"/>
          <w:sz w:val="32"/>
          <w:szCs w:val="32"/>
        </w:rPr>
        <w:t>完成</w:t>
      </w:r>
      <w:r>
        <w:rPr>
          <w:rFonts w:hint="default" w:ascii="Times New Roman" w:hAnsi="Times New Roman" w:eastAsia="仿宋_GB2312" w:cs="Times New Roman"/>
          <w:color w:val="000000"/>
          <w:sz w:val="32"/>
          <w:szCs w:val="32"/>
          <w:lang w:eastAsia="zh-CN"/>
        </w:rPr>
        <w:t>了</w:t>
      </w:r>
      <w:r>
        <w:rPr>
          <w:rFonts w:hint="default" w:ascii="Times New Roman" w:hAnsi="Times New Roman" w:eastAsia="仿宋_GB2312" w:cs="Times New Roman"/>
          <w:color w:val="000000"/>
          <w:sz w:val="32"/>
          <w:szCs w:val="32"/>
        </w:rPr>
        <w:t>省政府</w:t>
      </w:r>
      <w:r>
        <w:rPr>
          <w:rFonts w:hint="default" w:ascii="Times New Roman" w:hAnsi="Times New Roman" w:eastAsia="仿宋_GB2312" w:cs="Times New Roman"/>
          <w:color w:val="000000"/>
          <w:sz w:val="32"/>
          <w:szCs w:val="32"/>
          <w:lang w:eastAsia="zh-CN"/>
        </w:rPr>
        <w:t>省级</w:t>
      </w:r>
      <w:r>
        <w:rPr>
          <w:rFonts w:hint="default" w:ascii="Times New Roman" w:hAnsi="Times New Roman" w:eastAsia="仿宋_GB2312" w:cs="Times New Roman"/>
          <w:color w:val="000000"/>
          <w:sz w:val="32"/>
          <w:szCs w:val="32"/>
        </w:rPr>
        <w:t>十件民生实事</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kern w:val="0"/>
          <w:sz w:val="32"/>
          <w:szCs w:val="32"/>
          <w:lang w:bidi="ar"/>
        </w:rPr>
        <w:t>加强</w:t>
      </w:r>
      <w:r>
        <w:rPr>
          <w:rFonts w:hint="default" w:ascii="Times New Roman" w:hAnsi="Times New Roman" w:eastAsia="仿宋_GB2312" w:cs="Times New Roman"/>
          <w:color w:val="000000"/>
          <w:kern w:val="0"/>
          <w:sz w:val="32"/>
          <w:szCs w:val="32"/>
          <w:lang w:eastAsia="zh-CN" w:bidi="ar"/>
        </w:rPr>
        <w:t>粤东粤西粤北</w:t>
      </w:r>
      <w:r>
        <w:rPr>
          <w:rFonts w:hint="default" w:ascii="Times New Roman" w:hAnsi="Times New Roman" w:eastAsia="仿宋_GB2312" w:cs="Times New Roman"/>
          <w:color w:val="000000"/>
          <w:kern w:val="0"/>
          <w:sz w:val="32"/>
          <w:szCs w:val="32"/>
          <w:lang w:bidi="ar"/>
        </w:rPr>
        <w:t>基层医疗人才队伍和服务能力建设</w:t>
      </w:r>
      <w:r>
        <w:rPr>
          <w:rFonts w:hint="default" w:ascii="Times New Roman" w:hAnsi="Times New Roman" w:eastAsia="仿宋_GB2312" w:cs="Times New Roman"/>
          <w:color w:val="000000"/>
          <w:kern w:val="0"/>
          <w:sz w:val="32"/>
          <w:szCs w:val="32"/>
          <w:lang w:eastAsia="zh-CN" w:bidi="ar"/>
        </w:rPr>
        <w:t>项目</w:t>
      </w:r>
      <w:r>
        <w:rPr>
          <w:rFonts w:hint="default" w:ascii="Times New Roman" w:hAnsi="Times New Roman" w:eastAsia="仿宋_GB2312" w:cs="Times New Roman"/>
          <w:color w:val="000000"/>
          <w:sz w:val="32"/>
          <w:szCs w:val="32"/>
        </w:rPr>
        <w:t>的</w:t>
      </w:r>
      <w:r>
        <w:rPr>
          <w:rFonts w:hint="default" w:ascii="Times New Roman" w:hAnsi="Times New Roman" w:eastAsia="仿宋_GB2312" w:cs="Times New Roman"/>
          <w:color w:val="000000"/>
          <w:sz w:val="32"/>
          <w:szCs w:val="32"/>
          <w:lang w:eastAsia="zh-CN"/>
        </w:rPr>
        <w:t>各项建设</w:t>
      </w:r>
      <w:r>
        <w:rPr>
          <w:rFonts w:hint="default" w:ascii="Times New Roman" w:hAnsi="Times New Roman" w:eastAsia="仿宋_GB2312" w:cs="Times New Roman"/>
          <w:color w:val="000000"/>
          <w:sz w:val="32"/>
          <w:szCs w:val="32"/>
        </w:rPr>
        <w:t>任务</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snapToGrid w:val="0"/>
          <w:color w:val="000000"/>
          <w:kern w:val="0"/>
          <w:sz w:val="32"/>
          <w:szCs w:val="32"/>
        </w:rPr>
        <w:t>持续推进</w:t>
      </w:r>
      <w:r>
        <w:rPr>
          <w:rFonts w:hint="default" w:ascii="Times New Roman" w:hAnsi="Times New Roman" w:eastAsia="仿宋_GB2312" w:cs="Times New Roman"/>
          <w:snapToGrid w:val="0"/>
          <w:color w:val="000000"/>
          <w:kern w:val="0"/>
          <w:sz w:val="32"/>
          <w:szCs w:val="32"/>
          <w:lang w:eastAsia="zh-CN"/>
        </w:rPr>
        <w:t>了</w:t>
      </w:r>
      <w:r>
        <w:rPr>
          <w:rFonts w:hint="default" w:ascii="Times New Roman" w:hAnsi="Times New Roman" w:eastAsia="仿宋_GB2312" w:cs="Times New Roman"/>
          <w:snapToGrid w:val="0"/>
          <w:color w:val="000000"/>
          <w:kern w:val="0"/>
          <w:sz w:val="32"/>
          <w:szCs w:val="32"/>
        </w:rPr>
        <w:t>千名大学生下基层（上岗退费）</w:t>
      </w:r>
      <w:r>
        <w:rPr>
          <w:rFonts w:hint="default"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snapToGrid w:val="0"/>
          <w:color w:val="000000"/>
          <w:kern w:val="0"/>
          <w:sz w:val="32"/>
          <w:szCs w:val="32"/>
        </w:rPr>
        <w:t>县级医院专科特岗等项目，1652名城市三甲医院专家下乡支医</w:t>
      </w:r>
      <w:r>
        <w:rPr>
          <w:rFonts w:hint="default"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snapToGrid w:val="0"/>
          <w:color w:val="000000"/>
          <w:kern w:val="0"/>
          <w:sz w:val="32"/>
          <w:szCs w:val="32"/>
        </w:rPr>
        <w:t>为欠发达地区培训培养全科医生6749名、产科医生1158名、儿科医生376名，订单定向招收医学生1474名，新</w:t>
      </w:r>
      <w:r>
        <w:rPr>
          <w:rFonts w:hint="default" w:ascii="Times New Roman" w:hAnsi="Times New Roman" w:eastAsia="仿宋_GB2312" w:cs="Times New Roman"/>
          <w:snapToGrid w:val="0"/>
          <w:color w:val="000000"/>
          <w:kern w:val="0"/>
          <w:sz w:val="32"/>
          <w:szCs w:val="32"/>
          <w:lang w:eastAsia="zh-CN"/>
        </w:rPr>
        <w:t>增</w:t>
      </w:r>
      <w:r>
        <w:rPr>
          <w:rFonts w:hint="default" w:ascii="Times New Roman" w:hAnsi="Times New Roman" w:eastAsia="仿宋_GB2312" w:cs="Times New Roman"/>
          <w:snapToGrid w:val="0"/>
          <w:color w:val="000000"/>
          <w:kern w:val="0"/>
          <w:sz w:val="32"/>
          <w:szCs w:val="32"/>
        </w:rPr>
        <w:t>招聘的100名升级建设中心卫生院首席专家</w:t>
      </w:r>
      <w:r>
        <w:rPr>
          <w:rFonts w:hint="default" w:ascii="Times New Roman" w:hAnsi="Times New Roman" w:eastAsia="仿宋_GB2312" w:cs="Times New Roman"/>
          <w:snapToGrid w:val="0"/>
          <w:color w:val="000000"/>
          <w:kern w:val="0"/>
          <w:sz w:val="32"/>
          <w:szCs w:val="32"/>
          <w:lang w:eastAsia="zh-CN"/>
        </w:rPr>
        <w:t>全部</w:t>
      </w:r>
      <w:r>
        <w:rPr>
          <w:rFonts w:hint="default" w:ascii="Times New Roman" w:hAnsi="Times New Roman" w:eastAsia="仿宋_GB2312" w:cs="Times New Roman"/>
          <w:snapToGrid w:val="0"/>
          <w:color w:val="000000"/>
          <w:kern w:val="0"/>
          <w:sz w:val="32"/>
          <w:szCs w:val="32"/>
        </w:rPr>
        <w:t>到岗服务，8类智能健康监测设备</w:t>
      </w:r>
      <w:r>
        <w:rPr>
          <w:rFonts w:hint="default" w:ascii="Times New Roman" w:hAnsi="Times New Roman" w:eastAsia="仿宋_GB2312" w:cs="Times New Roman"/>
          <w:snapToGrid w:val="0"/>
          <w:color w:val="000000"/>
          <w:kern w:val="0"/>
          <w:sz w:val="32"/>
          <w:szCs w:val="32"/>
          <w:lang w:eastAsia="zh-CN"/>
        </w:rPr>
        <w:t>全部</w:t>
      </w:r>
      <w:r>
        <w:rPr>
          <w:rFonts w:hint="default" w:ascii="Times New Roman" w:hAnsi="Times New Roman" w:eastAsia="仿宋_GB2312" w:cs="Times New Roman"/>
          <w:snapToGrid w:val="0"/>
          <w:color w:val="000000"/>
          <w:kern w:val="0"/>
          <w:sz w:val="32"/>
          <w:szCs w:val="32"/>
        </w:rPr>
        <w:t>配置到2277条贫困村，基层人才数量质量均得到显著提升，</w:t>
      </w:r>
      <w:r>
        <w:rPr>
          <w:rFonts w:hint="default" w:ascii="Times New Roman" w:hAnsi="Times New Roman" w:eastAsia="仿宋_GB2312" w:cs="Times New Roman"/>
          <w:bCs/>
          <w:color w:val="000000"/>
          <w:kern w:val="0"/>
          <w:sz w:val="32"/>
          <w:szCs w:val="32"/>
        </w:rPr>
        <w:t>基层医疗机构</w:t>
      </w:r>
      <w:r>
        <w:rPr>
          <w:rFonts w:hint="default" w:ascii="Times New Roman" w:hAnsi="Times New Roman" w:eastAsia="仿宋_GB2312" w:cs="Times New Roman"/>
          <w:color w:val="000000"/>
          <w:sz w:val="32"/>
          <w:szCs w:val="32"/>
        </w:rPr>
        <w:t>整体</w:t>
      </w:r>
      <w:r>
        <w:rPr>
          <w:rFonts w:hint="default" w:ascii="Times New Roman" w:hAnsi="Times New Roman" w:eastAsia="仿宋_GB2312" w:cs="Times New Roman"/>
          <w:bCs/>
          <w:color w:val="000000"/>
          <w:kern w:val="0"/>
          <w:sz w:val="32"/>
          <w:szCs w:val="32"/>
        </w:rPr>
        <w:t>医疗水平和处置能力明显提高</w:t>
      </w:r>
      <w:r>
        <w:rPr>
          <w:rFonts w:hint="default" w:ascii="Times New Roman" w:hAnsi="Times New Roman" w:eastAsia="仿宋_GB2312" w:cs="Times New Roman"/>
          <w:bCs/>
          <w:color w:val="000000"/>
          <w:kern w:val="0"/>
          <w:sz w:val="32"/>
          <w:szCs w:val="32"/>
          <w:lang w:eastAsia="zh-CN"/>
        </w:rPr>
        <w:t>。</w:t>
      </w:r>
    </w:p>
    <w:p>
      <w:pPr>
        <w:widowControl w:val="0"/>
        <w:spacing w:beforeLines="0" w:afterLines="0" w:line="560" w:lineRule="exact"/>
        <w:ind w:firstLine="606" w:firstLineChars="200"/>
        <w:jc w:val="both"/>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eastAsia="zh-CN"/>
        </w:rPr>
        <w:t>经过</w:t>
      </w:r>
      <w:r>
        <w:rPr>
          <w:rFonts w:hint="default" w:ascii="Times New Roman" w:hAnsi="Times New Roman" w:eastAsia="仿宋_GB2312" w:cs="Times New Roman"/>
          <w:color w:val="000000"/>
          <w:kern w:val="0"/>
          <w:sz w:val="32"/>
          <w:szCs w:val="32"/>
        </w:rPr>
        <w:t>3年</w:t>
      </w:r>
      <w:r>
        <w:rPr>
          <w:rFonts w:hint="default" w:ascii="Times New Roman" w:hAnsi="Times New Roman" w:eastAsia="仿宋_GB2312" w:cs="Times New Roman"/>
          <w:color w:val="000000"/>
          <w:kern w:val="0"/>
          <w:sz w:val="32"/>
          <w:szCs w:val="32"/>
          <w:lang w:eastAsia="zh-CN"/>
        </w:rPr>
        <w:t>建设</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napToGrid w:val="0"/>
          <w:color w:val="000000"/>
          <w:kern w:val="0"/>
          <w:sz w:val="32"/>
          <w:szCs w:val="32"/>
          <w:lang w:val="en-US" w:eastAsia="zh-CN"/>
        </w:rPr>
        <w:t>基层卫生人才建设行动“十大举措”扎实推进，增量提质实施方案相继制定出台，选才育才留才新机制逐步完善，</w:t>
      </w:r>
      <w:r>
        <w:rPr>
          <w:rFonts w:hint="default" w:ascii="Times New Roman" w:hAnsi="Times New Roman" w:eastAsia="仿宋_GB2312" w:cs="Times New Roman"/>
          <w:color w:val="000000"/>
          <w:kern w:val="0"/>
          <w:sz w:val="32"/>
          <w:szCs w:val="32"/>
        </w:rPr>
        <w:t>推进</w:t>
      </w:r>
      <w:r>
        <w:rPr>
          <w:rFonts w:hint="default" w:ascii="Times New Roman" w:hAnsi="Times New Roman" w:eastAsia="仿宋_GB2312" w:cs="Times New Roman"/>
          <w:color w:val="000000"/>
          <w:kern w:val="0"/>
          <w:sz w:val="32"/>
          <w:szCs w:val="32"/>
          <w:lang w:eastAsia="zh-CN" w:bidi="ar"/>
        </w:rPr>
        <w:t>粤东粤西粤北</w:t>
      </w:r>
      <w:r>
        <w:rPr>
          <w:rFonts w:hint="default" w:ascii="Times New Roman" w:hAnsi="Times New Roman" w:eastAsia="仿宋_GB2312" w:cs="Times New Roman"/>
          <w:color w:val="000000"/>
          <w:kern w:val="0"/>
          <w:sz w:val="32"/>
          <w:szCs w:val="32"/>
          <w:lang w:bidi="ar"/>
        </w:rPr>
        <w:t>地区基层医疗卫生服务能力建设</w:t>
      </w:r>
      <w:r>
        <w:rPr>
          <w:rFonts w:hint="default" w:ascii="Times New Roman" w:hAnsi="Times New Roman" w:eastAsia="仿宋_GB2312" w:cs="Times New Roman"/>
          <w:color w:val="000000"/>
          <w:kern w:val="0"/>
          <w:sz w:val="32"/>
          <w:szCs w:val="32"/>
          <w:lang w:eastAsia="zh-CN" w:bidi="ar"/>
        </w:rPr>
        <w:t>取得显著成效</w:t>
      </w:r>
      <w:r>
        <w:rPr>
          <w:rFonts w:hint="default" w:ascii="Times New Roman" w:hAnsi="Times New Roman" w:eastAsia="仿宋_GB2312" w:cs="Times New Roman"/>
          <w:color w:val="000000"/>
          <w:kern w:val="0"/>
          <w:sz w:val="32"/>
          <w:szCs w:val="32"/>
          <w:lang w:bidi="ar"/>
        </w:rPr>
        <w:t>，基本解决了我省</w:t>
      </w:r>
      <w:r>
        <w:rPr>
          <w:rFonts w:hint="default" w:ascii="Times New Roman" w:hAnsi="Times New Roman" w:eastAsia="仿宋_GB2312" w:cs="Times New Roman"/>
          <w:color w:val="000000"/>
          <w:sz w:val="32"/>
          <w:szCs w:val="32"/>
          <w:lang w:bidi="ar"/>
        </w:rPr>
        <w:t>医疗卫生资源配置不均衡、基层医疗卫生服务能力弱的问题</w:t>
      </w:r>
      <w:r>
        <w:rPr>
          <w:rFonts w:hint="default"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kern w:val="0"/>
          <w:sz w:val="32"/>
          <w:szCs w:val="32"/>
          <w:lang w:eastAsia="zh-CN" w:bidi="ar"/>
        </w:rPr>
        <w:t>粤东粤西粤北</w:t>
      </w:r>
      <w:r>
        <w:rPr>
          <w:rFonts w:hint="default" w:ascii="Times New Roman" w:hAnsi="Times New Roman" w:eastAsia="仿宋_GB2312" w:cs="Times New Roman"/>
          <w:color w:val="000000"/>
          <w:kern w:val="0"/>
          <w:sz w:val="32"/>
          <w:szCs w:val="32"/>
          <w:lang w:bidi="ar"/>
        </w:rPr>
        <w:t>地区</w:t>
      </w:r>
      <w:r>
        <w:rPr>
          <w:rFonts w:hint="default" w:ascii="Times New Roman" w:hAnsi="Times New Roman" w:eastAsia="仿宋_GB2312" w:cs="Times New Roman"/>
          <w:snapToGrid w:val="0"/>
          <w:color w:val="000000"/>
          <w:kern w:val="0"/>
          <w:sz w:val="32"/>
          <w:szCs w:val="32"/>
        </w:rPr>
        <w:t>47家升级建设的中心卫生院全部开业，190家县级公立医院升级建设项目基本完成主体基建工程</w:t>
      </w:r>
      <w:r>
        <w:rPr>
          <w:rFonts w:hint="default"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snapToGrid w:val="0"/>
          <w:color w:val="000000"/>
          <w:kern w:val="0"/>
          <w:sz w:val="32"/>
          <w:szCs w:val="32"/>
        </w:rPr>
        <w:t>其中73家投入使用</w:t>
      </w:r>
      <w:r>
        <w:rPr>
          <w:rFonts w:hint="default"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snapToGrid w:val="0"/>
          <w:color w:val="000000"/>
          <w:kern w:val="0"/>
          <w:sz w:val="32"/>
          <w:szCs w:val="32"/>
        </w:rPr>
        <w:t>，10000间村卫生站标准化建设顺利完成，</w:t>
      </w:r>
      <w:r>
        <w:rPr>
          <w:rFonts w:hint="default" w:ascii="Times New Roman" w:hAnsi="Times New Roman" w:eastAsia="仿宋_GB2312" w:cs="Times New Roman"/>
          <w:snapToGrid w:val="0"/>
          <w:color w:val="000000"/>
          <w:kern w:val="0"/>
          <w:sz w:val="32"/>
          <w:szCs w:val="32"/>
          <w:lang w:eastAsia="zh-CN"/>
        </w:rPr>
        <w:t>合计</w:t>
      </w:r>
      <w:r>
        <w:rPr>
          <w:rFonts w:hint="default" w:ascii="Times New Roman" w:hAnsi="Times New Roman" w:eastAsia="仿宋_GB2312" w:cs="Times New Roman"/>
          <w:color w:val="000000"/>
          <w:sz w:val="32"/>
          <w:szCs w:val="32"/>
        </w:rPr>
        <w:t>新增</w:t>
      </w:r>
      <w:r>
        <w:rPr>
          <w:rFonts w:hint="default" w:ascii="Times New Roman" w:hAnsi="Times New Roman" w:eastAsia="仿宋_GB2312" w:cs="Times New Roman"/>
          <w:color w:val="000000"/>
          <w:sz w:val="32"/>
          <w:szCs w:val="32"/>
          <w:lang w:eastAsia="zh-CN"/>
        </w:rPr>
        <w:t>培训培养</w:t>
      </w:r>
      <w:r>
        <w:rPr>
          <w:rFonts w:hint="default" w:ascii="Times New Roman" w:hAnsi="Times New Roman" w:eastAsia="仿宋_GB2312" w:cs="Times New Roman"/>
          <w:color w:val="000000"/>
          <w:sz w:val="32"/>
          <w:szCs w:val="32"/>
        </w:rPr>
        <w:t>3万</w:t>
      </w:r>
      <w:r>
        <w:rPr>
          <w:rFonts w:hint="default" w:ascii="Times New Roman" w:hAnsi="Times New Roman" w:eastAsia="仿宋_GB2312" w:cs="Times New Roman"/>
          <w:color w:val="000000"/>
          <w:sz w:val="32"/>
          <w:szCs w:val="32"/>
          <w:lang w:eastAsia="zh-CN"/>
        </w:rPr>
        <w:t>多</w:t>
      </w:r>
      <w:r>
        <w:rPr>
          <w:rFonts w:hint="default" w:ascii="Times New Roman" w:hAnsi="Times New Roman" w:eastAsia="仿宋_GB2312" w:cs="Times New Roman"/>
          <w:color w:val="000000"/>
          <w:sz w:val="32"/>
          <w:szCs w:val="32"/>
        </w:rPr>
        <w:t>名基层</w:t>
      </w:r>
      <w:r>
        <w:rPr>
          <w:rFonts w:hint="default" w:ascii="Times New Roman" w:hAnsi="Times New Roman" w:eastAsia="仿宋_GB2312" w:cs="Times New Roman"/>
          <w:color w:val="000000"/>
          <w:sz w:val="32"/>
          <w:szCs w:val="32"/>
          <w:lang w:eastAsia="zh-CN"/>
        </w:rPr>
        <w:t>医疗</w:t>
      </w:r>
      <w:r>
        <w:rPr>
          <w:rFonts w:hint="default" w:ascii="Times New Roman" w:hAnsi="Times New Roman" w:eastAsia="仿宋_GB2312" w:cs="Times New Roman"/>
          <w:color w:val="000000"/>
          <w:sz w:val="32"/>
          <w:szCs w:val="32"/>
        </w:rPr>
        <w:t>卫生人才</w:t>
      </w:r>
      <w:r>
        <w:rPr>
          <w:rFonts w:hint="default"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snapToGrid w:val="0"/>
          <w:color w:val="000000"/>
          <w:kern w:val="0"/>
          <w:sz w:val="32"/>
          <w:szCs w:val="32"/>
        </w:rPr>
        <w:t>县域内住院率初步统计</w:t>
      </w:r>
      <w:r>
        <w:rPr>
          <w:rFonts w:hint="default" w:ascii="Times New Roman" w:hAnsi="Times New Roman" w:eastAsia="仿宋_GB2312" w:cs="Times New Roman"/>
          <w:snapToGrid w:val="0"/>
          <w:color w:val="000000"/>
          <w:kern w:val="0"/>
          <w:sz w:val="32"/>
          <w:szCs w:val="32"/>
          <w:lang w:eastAsia="zh-CN"/>
        </w:rPr>
        <w:t>已</w:t>
      </w:r>
      <w:r>
        <w:rPr>
          <w:rFonts w:hint="default" w:ascii="Times New Roman" w:hAnsi="Times New Roman" w:eastAsia="仿宋_GB2312" w:cs="Times New Roman"/>
          <w:snapToGrid w:val="0"/>
          <w:color w:val="000000"/>
          <w:kern w:val="0"/>
          <w:sz w:val="32"/>
          <w:szCs w:val="32"/>
        </w:rPr>
        <w:t>超过84%，</w:t>
      </w:r>
      <w:r>
        <w:rPr>
          <w:rFonts w:hint="default" w:ascii="Times New Roman" w:hAnsi="Times New Roman" w:eastAsia="仿宋_GB2312" w:cs="Times New Roman"/>
          <w:color w:val="000000"/>
          <w:sz w:val="32"/>
          <w:szCs w:val="32"/>
        </w:rPr>
        <w:t>百姓基本能就近享有较好的基本医疗卫生服务。</w:t>
      </w:r>
      <w:r>
        <w:rPr>
          <w:rFonts w:hint="default" w:ascii="Times New Roman" w:hAnsi="Times New Roman" w:eastAsia="仿宋_GB2312" w:cs="Times New Roman"/>
          <w:color w:val="000000"/>
          <w:sz w:val="32"/>
          <w:szCs w:val="32"/>
          <w:lang w:eastAsia="zh-CN"/>
        </w:rPr>
        <w:t>因我省加强基层医疗卫生服务能力成效显著，国家</w:t>
      </w:r>
      <w:r>
        <w:rPr>
          <w:rFonts w:hint="default" w:ascii="Times New Roman" w:hAnsi="Times New Roman" w:eastAsia="仿宋_GB2312" w:cs="Times New Roman"/>
          <w:color w:val="000000"/>
          <w:sz w:val="32"/>
          <w:szCs w:val="32"/>
          <w:lang w:val="en-US" w:eastAsia="zh-CN"/>
        </w:rPr>
        <w:t>近三年均在广东召开现场会推广深圳罗湖医改、广州花都等地基层卫生综改经验。我省</w:t>
      </w:r>
      <w:r>
        <w:rPr>
          <w:rFonts w:hint="default" w:ascii="Times New Roman" w:hAnsi="Times New Roman" w:eastAsia="仿宋_GB2312" w:cs="Times New Roman"/>
          <w:snapToGrid w:val="0"/>
          <w:color w:val="000000"/>
          <w:kern w:val="0"/>
          <w:sz w:val="32"/>
          <w:szCs w:val="32"/>
          <w:lang w:val="en-US" w:eastAsia="zh-CN"/>
        </w:rPr>
        <w:t>连续4年上榜全国“推进医改，服务百姓健康”十大新举措。</w:t>
      </w:r>
      <w:r>
        <w:rPr>
          <w:rFonts w:hint="default" w:ascii="Times New Roman" w:hAnsi="Times New Roman" w:eastAsia="仿宋_GB2312" w:cs="Times New Roman"/>
          <w:color w:val="000000"/>
          <w:sz w:val="32"/>
          <w:szCs w:val="32"/>
          <w:lang w:val="en-US" w:eastAsia="zh-CN"/>
        </w:rPr>
        <w:t>国家卫生健康委马晓伟主任肯定“广东基层卫生综合改革为全国提供了经验、开创了一条新路”。结合“不忘初心、牢记使命”主题教育，中央电视台《新闻联播》专题采访广东加强基层医疗卫生服务能力情况。“公益一类财政供给，公益二类绩效管理”等广东基层卫生综改经验入选中组部《贯彻落实习近平新时代中国特色社会主义思想、在改革发展稳定中攻坚克难案例》丛书，并作为全国卫生健康领域唯一典型案例写入全国干部培训教材之《改善民生与社会治理》。</w:t>
      </w:r>
    </w:p>
    <w:p>
      <w:pPr>
        <w:widowControl/>
        <w:spacing w:beforeLines="0" w:afterLines="0" w:line="560" w:lineRule="exact"/>
        <w:ind w:firstLine="606" w:firstLineChars="200"/>
        <w:rPr>
          <w:rFonts w:hint="default" w:ascii="Times New Roman" w:hAnsi="Times New Roman" w:eastAsia="仿宋_GB2312" w:cs="Times New Roman"/>
          <w:b w:val="0"/>
          <w:bCs w:val="0"/>
          <w:color w:val="000000"/>
          <w:kern w:val="0"/>
          <w:sz w:val="32"/>
          <w:szCs w:val="32"/>
          <w:lang w:eastAsia="zh-CN" w:bidi="ar"/>
        </w:rPr>
      </w:pPr>
      <w:r>
        <w:rPr>
          <w:rFonts w:hint="default" w:ascii="Times New Roman" w:hAnsi="Times New Roman" w:eastAsia="楷体_GB2312" w:cs="Times New Roman"/>
          <w:b w:val="0"/>
          <w:bCs w:val="0"/>
          <w:color w:val="000000"/>
          <w:kern w:val="0"/>
          <w:sz w:val="32"/>
          <w:szCs w:val="32"/>
          <w:lang w:bidi="ar"/>
        </w:rPr>
        <w:t>（二）资金投入及使用情况</w:t>
      </w:r>
      <w:r>
        <w:rPr>
          <w:rFonts w:hint="default" w:ascii="Times New Roman" w:hAnsi="Times New Roman" w:eastAsia="楷体_GB2312" w:cs="Times New Roman"/>
          <w:b w:val="0"/>
          <w:bCs w:val="0"/>
          <w:color w:val="000000"/>
          <w:kern w:val="0"/>
          <w:sz w:val="32"/>
          <w:szCs w:val="32"/>
          <w:lang w:eastAsia="zh-CN" w:bidi="ar"/>
        </w:rPr>
        <w:t>。</w:t>
      </w:r>
    </w:p>
    <w:p>
      <w:pPr>
        <w:widowControl/>
        <w:spacing w:beforeLines="0" w:afterLines="0" w:line="560" w:lineRule="exact"/>
        <w:ind w:firstLine="606" w:firstLineChars="200"/>
        <w:rPr>
          <w:rFonts w:hint="default" w:ascii="Times New Roman" w:hAnsi="Times New Roman" w:eastAsia="仿宋_GB2312" w:cs="Times New Roman"/>
          <w:b/>
          <w:bCs/>
          <w:color w:val="000000"/>
          <w:kern w:val="0"/>
          <w:sz w:val="32"/>
          <w:szCs w:val="32"/>
          <w:lang w:eastAsia="zh-CN" w:bidi="ar"/>
        </w:rPr>
      </w:pPr>
      <w:r>
        <w:rPr>
          <w:rFonts w:hint="default" w:ascii="Times New Roman" w:hAnsi="Times New Roman" w:eastAsia="仿宋_GB2312" w:cs="Times New Roman"/>
          <w:b/>
          <w:bCs/>
          <w:color w:val="000000"/>
          <w:kern w:val="0"/>
          <w:sz w:val="32"/>
          <w:szCs w:val="32"/>
          <w:lang w:val="en-US" w:eastAsia="zh-CN" w:bidi="ar"/>
        </w:rPr>
        <w:t>1.</w:t>
      </w:r>
      <w:r>
        <w:rPr>
          <w:rFonts w:hint="default" w:ascii="Times New Roman" w:hAnsi="Times New Roman" w:eastAsia="仿宋_GB2312" w:cs="Times New Roman"/>
          <w:b/>
          <w:bCs/>
          <w:color w:val="000000"/>
          <w:kern w:val="0"/>
          <w:sz w:val="32"/>
          <w:szCs w:val="32"/>
          <w:lang w:bidi="ar"/>
        </w:rPr>
        <w:t>资金投入情况</w:t>
      </w:r>
      <w:r>
        <w:rPr>
          <w:rFonts w:hint="default" w:ascii="Times New Roman" w:hAnsi="Times New Roman" w:eastAsia="仿宋_GB2312" w:cs="Times New Roman"/>
          <w:b/>
          <w:bCs/>
          <w:color w:val="000000"/>
          <w:kern w:val="0"/>
          <w:sz w:val="32"/>
          <w:szCs w:val="32"/>
          <w:lang w:eastAsia="zh-CN" w:bidi="ar"/>
        </w:rPr>
        <w:t>。</w:t>
      </w:r>
    </w:p>
    <w:p>
      <w:pPr>
        <w:widowControl/>
        <w:spacing w:beforeLines="0" w:afterLines="0" w:line="560" w:lineRule="exact"/>
        <w:ind w:firstLine="606" w:firstLineChars="20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2019年，</w:t>
      </w:r>
      <w:r>
        <w:rPr>
          <w:rFonts w:hint="default" w:ascii="Times New Roman" w:hAnsi="Times New Roman" w:eastAsia="仿宋_GB2312" w:cs="Times New Roman"/>
          <w:color w:val="000000"/>
          <w:kern w:val="0"/>
          <w:sz w:val="32"/>
          <w:szCs w:val="32"/>
          <w:lang w:eastAsia="zh-CN" w:bidi="ar"/>
        </w:rPr>
        <w:t>省财政厅</w:t>
      </w:r>
      <w:r>
        <w:rPr>
          <w:rFonts w:hint="default" w:ascii="Times New Roman" w:hAnsi="Times New Roman" w:eastAsia="仿宋_GB2312" w:cs="Times New Roman"/>
          <w:color w:val="000000"/>
          <w:kern w:val="0"/>
          <w:sz w:val="32"/>
          <w:szCs w:val="32"/>
          <w:lang w:bidi="ar"/>
        </w:rPr>
        <w:t>《关于安排2019年省级医疗卫生健康事业发展专项资金（第一批）的通知（粤财社〔2019〕42号）》安排</w:t>
      </w:r>
      <w:r>
        <w:rPr>
          <w:rFonts w:hint="default" w:ascii="Times New Roman" w:hAnsi="Times New Roman" w:eastAsia="仿宋_GB2312" w:cs="Times New Roman"/>
          <w:color w:val="000000"/>
          <w:kern w:val="0"/>
          <w:sz w:val="32"/>
          <w:szCs w:val="32"/>
          <w:lang w:val="en-US" w:eastAsia="zh-CN" w:bidi="ar"/>
        </w:rPr>
        <w:t>2019年</w:t>
      </w:r>
      <w:r>
        <w:rPr>
          <w:rFonts w:hint="default" w:ascii="Times New Roman" w:hAnsi="Times New Roman" w:eastAsia="仿宋_GB2312" w:cs="Times New Roman"/>
          <w:color w:val="000000"/>
          <w:kern w:val="0"/>
          <w:sz w:val="32"/>
          <w:szCs w:val="32"/>
          <w:lang w:bidi="ar"/>
        </w:rPr>
        <w:t>省政府</w:t>
      </w:r>
      <w:r>
        <w:rPr>
          <w:rFonts w:hint="default" w:ascii="Times New Roman" w:hAnsi="Times New Roman" w:eastAsia="仿宋_GB2312" w:cs="Times New Roman"/>
          <w:color w:val="000000"/>
          <w:kern w:val="0"/>
          <w:sz w:val="32"/>
          <w:szCs w:val="32"/>
          <w:lang w:eastAsia="zh-CN" w:bidi="ar"/>
        </w:rPr>
        <w:t>省级十</w:t>
      </w:r>
      <w:r>
        <w:rPr>
          <w:rFonts w:hint="default" w:ascii="Times New Roman" w:hAnsi="Times New Roman" w:eastAsia="仿宋_GB2312" w:cs="Times New Roman"/>
          <w:color w:val="000000"/>
          <w:kern w:val="0"/>
          <w:sz w:val="32"/>
          <w:szCs w:val="32"/>
          <w:lang w:bidi="ar"/>
        </w:rPr>
        <w:t>件民生实事</w:t>
      </w:r>
      <w:r>
        <w:rPr>
          <w:rFonts w:hint="default" w:ascii="Times New Roman" w:hAnsi="Times New Roman" w:eastAsia="仿宋_GB2312" w:cs="Times New Roman"/>
          <w:color w:val="000000"/>
          <w:kern w:val="0"/>
          <w:sz w:val="32"/>
          <w:szCs w:val="32"/>
          <w:lang w:eastAsia="zh-CN" w:bidi="ar"/>
        </w:rPr>
        <w:t>的</w:t>
      </w:r>
      <w:r>
        <w:rPr>
          <w:rFonts w:hint="default" w:ascii="Times New Roman" w:hAnsi="Times New Roman" w:eastAsia="仿宋_GB2312" w:cs="Times New Roman"/>
          <w:color w:val="000000"/>
          <w:kern w:val="0"/>
          <w:sz w:val="32"/>
          <w:szCs w:val="32"/>
          <w:lang w:bidi="ar"/>
        </w:rPr>
        <w:t>加强</w:t>
      </w:r>
      <w:r>
        <w:rPr>
          <w:rFonts w:hint="default" w:ascii="Times New Roman" w:hAnsi="Times New Roman" w:eastAsia="仿宋_GB2312" w:cs="Times New Roman"/>
          <w:color w:val="000000"/>
          <w:kern w:val="0"/>
          <w:sz w:val="32"/>
          <w:szCs w:val="32"/>
          <w:lang w:eastAsia="zh-CN" w:bidi="ar"/>
        </w:rPr>
        <w:t>粤东粤西粤北</w:t>
      </w:r>
      <w:r>
        <w:rPr>
          <w:rFonts w:hint="default" w:ascii="Times New Roman" w:hAnsi="Times New Roman" w:eastAsia="仿宋_GB2312" w:cs="Times New Roman"/>
          <w:color w:val="000000"/>
          <w:kern w:val="0"/>
          <w:sz w:val="32"/>
          <w:szCs w:val="32"/>
          <w:lang w:bidi="ar"/>
        </w:rPr>
        <w:t>基层医疗人才队伍和服务能力建设</w:t>
      </w:r>
      <w:r>
        <w:rPr>
          <w:rFonts w:hint="default" w:ascii="Times New Roman" w:hAnsi="Times New Roman" w:eastAsia="仿宋_GB2312" w:cs="Times New Roman"/>
          <w:color w:val="000000"/>
          <w:kern w:val="0"/>
          <w:sz w:val="32"/>
          <w:szCs w:val="32"/>
          <w:lang w:eastAsia="zh-CN" w:bidi="ar"/>
        </w:rPr>
        <w:t>项目</w:t>
      </w:r>
      <w:r>
        <w:rPr>
          <w:rFonts w:hint="default" w:ascii="Times New Roman" w:hAnsi="Times New Roman" w:eastAsia="仿宋_GB2312" w:cs="Times New Roman"/>
          <w:color w:val="000000"/>
          <w:kern w:val="0"/>
          <w:sz w:val="32"/>
          <w:szCs w:val="32"/>
          <w:lang w:bidi="ar"/>
        </w:rPr>
        <w:t>专项资金43248.65万元。其中，</w:t>
      </w:r>
      <w:r>
        <w:rPr>
          <w:rFonts w:hint="default" w:ascii="Times New Roman" w:hAnsi="Times New Roman" w:eastAsia="仿宋_GB2312" w:cs="Times New Roman"/>
          <w:color w:val="000000"/>
          <w:kern w:val="0"/>
          <w:sz w:val="32"/>
          <w:szCs w:val="32"/>
          <w:lang w:eastAsia="zh-CN" w:bidi="ar"/>
        </w:rPr>
        <w:t>安排</w:t>
      </w:r>
      <w:r>
        <w:rPr>
          <w:rFonts w:hint="default" w:ascii="Times New Roman" w:hAnsi="Times New Roman" w:eastAsia="仿宋_GB2312" w:cs="Times New Roman"/>
          <w:color w:val="000000"/>
          <w:kern w:val="0"/>
          <w:sz w:val="32"/>
          <w:szCs w:val="32"/>
          <w:lang w:bidi="ar"/>
        </w:rPr>
        <w:t>基层医疗卫生人才建设</w:t>
      </w:r>
      <w:r>
        <w:rPr>
          <w:rFonts w:hint="default" w:ascii="Times New Roman" w:hAnsi="Times New Roman" w:eastAsia="仿宋_GB2312" w:cs="Times New Roman"/>
          <w:color w:val="000000"/>
          <w:kern w:val="0"/>
          <w:sz w:val="32"/>
          <w:szCs w:val="32"/>
          <w:lang w:eastAsia="zh-CN" w:bidi="ar"/>
        </w:rPr>
        <w:t>项目资金</w:t>
      </w:r>
      <w:r>
        <w:rPr>
          <w:rFonts w:hint="default" w:ascii="Times New Roman" w:hAnsi="Times New Roman" w:eastAsia="仿宋_GB2312" w:cs="Times New Roman"/>
          <w:color w:val="000000"/>
          <w:kern w:val="0"/>
          <w:sz w:val="32"/>
          <w:szCs w:val="32"/>
          <w:lang w:bidi="ar"/>
        </w:rPr>
        <w:t>40516.25万元（见表1），主要用于实施订单定向培养农村卫生人才、全科医生和住院医师规范化培训和产科、儿科转岗培训、开展家庭医生签约团队骨干培训等；</w:t>
      </w:r>
      <w:r>
        <w:rPr>
          <w:rFonts w:hint="default" w:ascii="Times New Roman" w:hAnsi="Times New Roman" w:eastAsia="仿宋_GB2312" w:cs="Times New Roman"/>
          <w:color w:val="000000"/>
          <w:kern w:val="0"/>
          <w:sz w:val="32"/>
          <w:szCs w:val="32"/>
          <w:lang w:eastAsia="zh-CN" w:bidi="ar"/>
        </w:rPr>
        <w:t>安排</w:t>
      </w:r>
      <w:r>
        <w:rPr>
          <w:rFonts w:hint="default" w:ascii="Times New Roman" w:hAnsi="Times New Roman" w:eastAsia="仿宋_GB2312" w:cs="Times New Roman"/>
          <w:color w:val="000000"/>
          <w:kern w:val="0"/>
          <w:sz w:val="32"/>
          <w:szCs w:val="32"/>
          <w:lang w:bidi="ar"/>
        </w:rPr>
        <w:t>精准扶贫村健康监测</w:t>
      </w:r>
      <w:r>
        <w:rPr>
          <w:rFonts w:hint="default" w:ascii="Times New Roman" w:hAnsi="Times New Roman" w:eastAsia="仿宋_GB2312" w:cs="Times New Roman"/>
          <w:color w:val="000000"/>
          <w:kern w:val="0"/>
          <w:sz w:val="32"/>
          <w:szCs w:val="32"/>
          <w:lang w:eastAsia="zh-CN" w:bidi="ar"/>
        </w:rPr>
        <w:t>设备配置</w:t>
      </w:r>
      <w:r>
        <w:rPr>
          <w:rFonts w:hint="default" w:ascii="Times New Roman" w:hAnsi="Times New Roman" w:eastAsia="仿宋_GB2312" w:cs="Times New Roman"/>
          <w:color w:val="000000"/>
          <w:kern w:val="0"/>
          <w:sz w:val="32"/>
          <w:szCs w:val="32"/>
          <w:lang w:bidi="ar"/>
        </w:rPr>
        <w:t>项目2732.40万元（见表2），主要用于为2277条</w:t>
      </w:r>
      <w:r>
        <w:rPr>
          <w:rFonts w:hint="default" w:ascii="Times New Roman" w:hAnsi="Times New Roman" w:eastAsia="仿宋_GB2312" w:cs="Times New Roman"/>
          <w:color w:val="000000"/>
          <w:kern w:val="0"/>
          <w:sz w:val="32"/>
          <w:szCs w:val="32"/>
          <w:lang w:eastAsia="zh-CN" w:bidi="ar"/>
        </w:rPr>
        <w:t>省定</w:t>
      </w:r>
      <w:r>
        <w:rPr>
          <w:rFonts w:hint="default" w:ascii="Times New Roman" w:hAnsi="Times New Roman" w:eastAsia="仿宋_GB2312" w:cs="Times New Roman"/>
          <w:color w:val="000000"/>
          <w:kern w:val="0"/>
          <w:sz w:val="32"/>
          <w:szCs w:val="32"/>
          <w:lang w:bidi="ar"/>
        </w:rPr>
        <w:t>贫困村配备血压计、胎心监测仪、</w:t>
      </w:r>
      <w:r>
        <w:rPr>
          <w:rFonts w:hint="default" w:ascii="Times New Roman" w:hAnsi="Times New Roman" w:eastAsia="仿宋_GB2312" w:cs="Times New Roman"/>
          <w:color w:val="000000"/>
          <w:kern w:val="0"/>
          <w:sz w:val="32"/>
          <w:szCs w:val="32"/>
          <w:lang w:eastAsia="zh-CN" w:bidi="ar"/>
        </w:rPr>
        <w:t>电子</w:t>
      </w:r>
      <w:r>
        <w:rPr>
          <w:rFonts w:hint="default" w:ascii="Times New Roman" w:hAnsi="Times New Roman" w:eastAsia="仿宋_GB2312" w:cs="Times New Roman"/>
          <w:color w:val="000000"/>
          <w:kern w:val="0"/>
          <w:sz w:val="32"/>
          <w:szCs w:val="32"/>
          <w:lang w:bidi="ar"/>
        </w:rPr>
        <w:t>体温计和心电监测仪</w:t>
      </w:r>
      <w:r>
        <w:rPr>
          <w:rFonts w:hint="default" w:ascii="Times New Roman" w:hAnsi="Times New Roman" w:eastAsia="仿宋_GB2312" w:cs="Times New Roman"/>
          <w:color w:val="000000"/>
          <w:kern w:val="0"/>
          <w:sz w:val="32"/>
          <w:szCs w:val="32"/>
          <w:lang w:eastAsia="zh-CN" w:bidi="ar"/>
        </w:rPr>
        <w:t>、尿常规检测仪</w:t>
      </w:r>
      <w:r>
        <w:rPr>
          <w:rFonts w:hint="default" w:ascii="Times New Roman" w:hAnsi="Times New Roman" w:eastAsia="仿宋_GB2312" w:cs="Times New Roman"/>
          <w:color w:val="000000"/>
          <w:kern w:val="0"/>
          <w:sz w:val="32"/>
          <w:szCs w:val="32"/>
          <w:lang w:bidi="ar"/>
        </w:rPr>
        <w:t>等远程健康监测设备。</w:t>
      </w:r>
    </w:p>
    <w:p>
      <w:pPr>
        <w:spacing w:line="360" w:lineRule="exact"/>
        <w:jc w:val="center"/>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kern w:val="0"/>
          <w:sz w:val="32"/>
          <w:szCs w:val="32"/>
        </w:rPr>
        <w:t>表1：2019年</w:t>
      </w:r>
      <w:r>
        <w:rPr>
          <w:rFonts w:hint="default" w:ascii="Times New Roman" w:hAnsi="Times New Roman" w:eastAsia="仿宋_GB2312" w:cs="Times New Roman"/>
          <w:b/>
          <w:bCs/>
          <w:color w:val="000000"/>
          <w:kern w:val="0"/>
          <w:sz w:val="32"/>
          <w:szCs w:val="32"/>
          <w:lang w:bidi="ar"/>
        </w:rPr>
        <w:t>基层医疗卫生人才建设</w:t>
      </w:r>
      <w:r>
        <w:rPr>
          <w:rFonts w:hint="default" w:ascii="Times New Roman" w:hAnsi="Times New Roman" w:eastAsia="仿宋_GB2312" w:cs="Times New Roman"/>
          <w:b/>
          <w:bCs/>
          <w:color w:val="000000"/>
          <w:sz w:val="32"/>
          <w:szCs w:val="32"/>
        </w:rPr>
        <w:t>项目预算情况表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24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98" w:type="dxa"/>
            <w:shd w:val="clear" w:color="auto" w:fill="FBD4B4"/>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b/>
                <w:bCs/>
                <w:color w:val="000000"/>
                <w:kern w:val="0"/>
                <w:sz w:val="28"/>
                <w:szCs w:val="28"/>
                <w:lang w:bidi="ar"/>
              </w:rPr>
              <w:t>项目名称</w:t>
            </w:r>
          </w:p>
        </w:tc>
        <w:tc>
          <w:tcPr>
            <w:tcW w:w="1244" w:type="dxa"/>
            <w:shd w:val="clear" w:color="auto" w:fill="FBD4B4"/>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b/>
                <w:color w:val="000000"/>
                <w:kern w:val="0"/>
                <w:sz w:val="28"/>
                <w:szCs w:val="28"/>
                <w:lang w:bidi="ar"/>
              </w:rPr>
              <w:t>补助资金</w:t>
            </w:r>
            <w:r>
              <w:rPr>
                <w:rFonts w:hint="default" w:ascii="Times New Roman" w:hAnsi="Times New Roman" w:eastAsia="仿宋_GB2312" w:cs="Times New Roman"/>
                <w:b/>
                <w:bCs/>
                <w:color w:val="000000"/>
                <w:kern w:val="0"/>
                <w:sz w:val="28"/>
                <w:szCs w:val="28"/>
              </w:rPr>
              <w:t>（万元）</w:t>
            </w:r>
          </w:p>
        </w:tc>
        <w:tc>
          <w:tcPr>
            <w:tcW w:w="5880" w:type="dxa"/>
            <w:vMerge w:val="restart"/>
            <w:shd w:val="clear" w:color="auto" w:fill="FBD4B4"/>
            <w:noWrap w:val="0"/>
            <w:vAlign w:val="center"/>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b/>
                <w:color w:val="000000"/>
                <w:kern w:val="0"/>
                <w:sz w:val="28"/>
                <w:szCs w:val="28"/>
                <w:lang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98"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合计</w:t>
            </w:r>
          </w:p>
        </w:tc>
        <w:tc>
          <w:tcPr>
            <w:tcW w:w="1244"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40516.25</w:t>
            </w:r>
          </w:p>
        </w:tc>
        <w:tc>
          <w:tcPr>
            <w:tcW w:w="5880" w:type="dxa"/>
            <w:vMerge w:val="continue"/>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98"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1.住院医师规范化培训</w:t>
            </w:r>
          </w:p>
        </w:tc>
        <w:tc>
          <w:tcPr>
            <w:tcW w:w="1244"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15024.00</w:t>
            </w:r>
          </w:p>
        </w:tc>
        <w:tc>
          <w:tcPr>
            <w:tcW w:w="5880" w:type="dxa"/>
            <w:noWrap w:val="0"/>
            <w:vAlign w:val="center"/>
          </w:tcPr>
          <w:p>
            <w:pPr>
              <w:widowControl/>
              <w:spacing w:line="360" w:lineRule="exact"/>
              <w:jc w:val="both"/>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补助标准：社会人住院医师规范化培训每人每年1.5万元；住培带教师资培训补助金额按照每名师资培训7天(56学时)，每天450元/人.天标准补助，由有关医学院校附属第一医院及省人民医院等单位承担，深圳市计划由深圳市卫计委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98"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2.全科医生培训</w:t>
            </w:r>
          </w:p>
        </w:tc>
        <w:tc>
          <w:tcPr>
            <w:tcW w:w="1244"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12050.01</w:t>
            </w:r>
          </w:p>
        </w:tc>
        <w:tc>
          <w:tcPr>
            <w:tcW w:w="5880" w:type="dxa"/>
            <w:noWrap w:val="0"/>
            <w:vAlign w:val="center"/>
          </w:tcPr>
          <w:p>
            <w:pPr>
              <w:widowControl/>
              <w:spacing w:line="360" w:lineRule="exact"/>
              <w:jc w:val="both"/>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补助标准：全科医生规范化培训每人每年3万元、助理全科医生培训每人每年2万元的标准予以补助。带教师资培训补助金额按照每名师资培训7天(56学时)，每天450元/人.天标准补助。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98"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3.订单定向培养医学大学生</w:t>
            </w:r>
          </w:p>
        </w:tc>
        <w:tc>
          <w:tcPr>
            <w:tcW w:w="1244"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5199.24</w:t>
            </w:r>
          </w:p>
        </w:tc>
        <w:tc>
          <w:tcPr>
            <w:tcW w:w="5880" w:type="dxa"/>
            <w:noWrap w:val="0"/>
            <w:vAlign w:val="center"/>
          </w:tcPr>
          <w:p>
            <w:pPr>
              <w:widowControl/>
              <w:spacing w:line="360" w:lineRule="exac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2019年起参照广东省物价部门核定的学费标准进行精准补助、生活费6300元（按630元/月，每年10个月计算）。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98"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4.产儿科转岗培训</w:t>
            </w:r>
          </w:p>
        </w:tc>
        <w:tc>
          <w:tcPr>
            <w:tcW w:w="1244"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1720.00</w:t>
            </w:r>
          </w:p>
        </w:tc>
        <w:tc>
          <w:tcPr>
            <w:tcW w:w="5880" w:type="dxa"/>
            <w:noWrap w:val="0"/>
            <w:vAlign w:val="center"/>
          </w:tcPr>
          <w:p>
            <w:pPr>
              <w:widowControl/>
              <w:spacing w:line="360" w:lineRule="exact"/>
              <w:jc w:val="both"/>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补助标准为1万元/人。儿科转岗培训补助经费标准为2万元/人/年，按每个县市区培训4人进行分配。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98"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5.家庭医生团队骨干师资培训</w:t>
            </w:r>
          </w:p>
        </w:tc>
        <w:tc>
          <w:tcPr>
            <w:tcW w:w="1244"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272.00</w:t>
            </w:r>
          </w:p>
        </w:tc>
        <w:tc>
          <w:tcPr>
            <w:tcW w:w="5880" w:type="dxa"/>
            <w:noWrap w:val="0"/>
            <w:vAlign w:val="center"/>
          </w:tcPr>
          <w:p>
            <w:pPr>
              <w:widowControl/>
              <w:spacing w:line="360" w:lineRule="exact"/>
              <w:jc w:val="both"/>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每年培训30人，培训时间合计32天。培训对象每人每天补贴360元，每个培训基地每年所需要费用为34万元（30人*32天*360元/人/天）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98"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6.百名首席专家下基层计划</w:t>
            </w:r>
          </w:p>
        </w:tc>
        <w:tc>
          <w:tcPr>
            <w:tcW w:w="1244"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2000.00</w:t>
            </w:r>
          </w:p>
        </w:tc>
        <w:tc>
          <w:tcPr>
            <w:tcW w:w="5880" w:type="dxa"/>
            <w:noWrap w:val="0"/>
            <w:vAlign w:val="center"/>
          </w:tcPr>
          <w:p>
            <w:pPr>
              <w:widowControl/>
              <w:spacing w:line="360" w:lineRule="exact"/>
              <w:jc w:val="both"/>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综合考虑现有床位数与区域分布，对乐昌市第二人民医院、五华县安流镇中心卫生院、高州市石鼓镇 中心卫生院、化州市平定卫生院、英德市东华镇中心卫生院和揭西县棉湖镇中心卫生院，按每家招聘</w:t>
            </w:r>
            <w:r>
              <w:rPr>
                <w:rFonts w:hint="default" w:ascii="Times New Roman" w:hAnsi="Times New Roman" w:eastAsia="仿宋_GB2312" w:cs="Times New Roman"/>
                <w:color w:val="000000"/>
                <w:kern w:val="0"/>
                <w:sz w:val="28"/>
                <w:szCs w:val="28"/>
                <w:lang w:val="en-US" w:eastAsia="zh-CN" w:bidi="ar"/>
              </w:rPr>
              <w:t>2-</w:t>
            </w:r>
            <w:r>
              <w:rPr>
                <w:rFonts w:hint="default" w:ascii="Times New Roman" w:hAnsi="Times New Roman" w:eastAsia="仿宋_GB2312" w:cs="Times New Roman"/>
                <w:color w:val="000000"/>
                <w:kern w:val="0"/>
                <w:sz w:val="28"/>
                <w:szCs w:val="28"/>
                <w:lang w:bidi="ar"/>
              </w:rPr>
              <w:t>3名首席专家安排补助资金。补助标准20万/人/年。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98"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7.千名高校毕业生下基层</w:t>
            </w:r>
          </w:p>
        </w:tc>
        <w:tc>
          <w:tcPr>
            <w:tcW w:w="1244"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850.00</w:t>
            </w:r>
          </w:p>
        </w:tc>
        <w:tc>
          <w:tcPr>
            <w:tcW w:w="5880" w:type="dxa"/>
            <w:noWrap w:val="0"/>
            <w:vAlign w:val="center"/>
          </w:tcPr>
          <w:p>
            <w:pPr>
              <w:widowControl/>
              <w:spacing w:line="360" w:lineRule="exact"/>
              <w:jc w:val="both"/>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2019年先按每家乡镇卫生院招聘6名医疗卫生专业本科学历（学位）毕业生，每人每年1万元 的补助标准预拨2019年补助经费，待下一年度根据实际招聘人数据实结算。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98"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8.县级公立医院专科特设岗位</w:t>
            </w:r>
          </w:p>
        </w:tc>
        <w:tc>
          <w:tcPr>
            <w:tcW w:w="1244" w:type="dxa"/>
            <w:noWrap w:val="0"/>
            <w:vAlign w:val="center"/>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3400.00</w:t>
            </w:r>
          </w:p>
        </w:tc>
        <w:tc>
          <w:tcPr>
            <w:tcW w:w="5880" w:type="dxa"/>
            <w:noWrap w:val="0"/>
            <w:vAlign w:val="center"/>
          </w:tcPr>
          <w:p>
            <w:pPr>
              <w:snapToGrid w:val="0"/>
              <w:spacing w:line="360" w:lineRule="exac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bCs/>
                <w:color w:val="000000"/>
                <w:kern w:val="0"/>
                <w:sz w:val="28"/>
                <w:szCs w:val="28"/>
                <w:lang w:bidi="ar"/>
              </w:rPr>
              <w:t>依据</w:t>
            </w:r>
            <w:r>
              <w:rPr>
                <w:rFonts w:hint="default" w:ascii="Times New Roman" w:hAnsi="Times New Roman" w:eastAsia="仿宋_GB2312" w:cs="Times New Roman"/>
                <w:color w:val="000000"/>
                <w:kern w:val="0"/>
                <w:sz w:val="28"/>
                <w:szCs w:val="28"/>
                <w:lang w:bidi="ar"/>
              </w:rPr>
              <w:t>人口系数权重为30%，综合评分系数权重为70%的原则确定招聘岗位。中央苏区县和少数民族县</w:t>
            </w:r>
            <w:r>
              <w:rPr>
                <w:rFonts w:hint="default" w:ascii="Times New Roman" w:hAnsi="Times New Roman" w:eastAsia="仿宋_GB2312" w:cs="Times New Roman"/>
                <w:color w:val="000000"/>
                <w:sz w:val="28"/>
                <w:szCs w:val="28"/>
              </w:rPr>
              <w:t>按照15万元/年安排补助资金，</w:t>
            </w:r>
            <w:r>
              <w:rPr>
                <w:rFonts w:hint="default" w:ascii="Times New Roman" w:hAnsi="Times New Roman" w:eastAsia="仿宋_GB2312" w:cs="Times New Roman"/>
                <w:color w:val="000000"/>
                <w:kern w:val="0"/>
                <w:sz w:val="28"/>
                <w:szCs w:val="28"/>
                <w:lang w:bidi="ar"/>
              </w:rPr>
              <w:t>其他地区</w:t>
            </w:r>
            <w:r>
              <w:rPr>
                <w:rFonts w:hint="default" w:ascii="Times New Roman" w:hAnsi="Times New Roman" w:eastAsia="仿宋_GB2312" w:cs="Times New Roman"/>
                <w:color w:val="000000"/>
                <w:sz w:val="28"/>
                <w:szCs w:val="28"/>
              </w:rPr>
              <w:t>按照10万元/年安排补助资金。</w:t>
            </w:r>
          </w:p>
        </w:tc>
      </w:tr>
    </w:tbl>
    <w:p>
      <w:pPr>
        <w:spacing w:line="360" w:lineRule="exact"/>
        <w:rPr>
          <w:rFonts w:hint="default" w:ascii="Times New Roman" w:hAnsi="Times New Roman" w:eastAsia="仿宋_GB2312" w:cs="Times New Roman"/>
          <w:b/>
          <w:color w:val="000000"/>
          <w:kern w:val="0"/>
          <w:sz w:val="32"/>
          <w:szCs w:val="32"/>
          <w:lang w:bidi="ar"/>
        </w:rPr>
      </w:pPr>
    </w:p>
    <w:p>
      <w:pPr>
        <w:spacing w:line="360" w:lineRule="exact"/>
        <w:rPr>
          <w:rFonts w:hint="default" w:ascii="Times New Roman" w:hAnsi="Times New Roman" w:eastAsia="仿宋_GB2312" w:cs="Times New Roman"/>
          <w:b/>
          <w:color w:val="000000"/>
          <w:kern w:val="0"/>
          <w:sz w:val="32"/>
          <w:szCs w:val="32"/>
          <w:lang w:bidi="ar"/>
        </w:rPr>
      </w:pPr>
    </w:p>
    <w:p>
      <w:pPr>
        <w:spacing w:line="360" w:lineRule="exact"/>
        <w:jc w:val="center"/>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kern w:val="0"/>
          <w:sz w:val="32"/>
          <w:szCs w:val="32"/>
          <w:lang w:bidi="ar"/>
        </w:rPr>
        <w:t>表2：2019年精准扶贫村健康监测项目</w:t>
      </w:r>
      <w:r>
        <w:rPr>
          <w:rFonts w:hint="default" w:ascii="Times New Roman" w:hAnsi="Times New Roman" w:eastAsia="仿宋_GB2312" w:cs="Times New Roman"/>
          <w:b/>
          <w:color w:val="000000"/>
          <w:sz w:val="32"/>
          <w:szCs w:val="32"/>
        </w:rPr>
        <w:t>预算情况表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888"/>
        <w:gridCol w:w="3087"/>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shd w:val="clear" w:color="auto" w:fill="FBD4B4"/>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b/>
                <w:color w:val="000000"/>
                <w:kern w:val="0"/>
                <w:sz w:val="28"/>
                <w:szCs w:val="28"/>
                <w:lang w:bidi="ar"/>
              </w:rPr>
              <w:t>地区</w:t>
            </w:r>
          </w:p>
        </w:tc>
        <w:tc>
          <w:tcPr>
            <w:tcW w:w="1888" w:type="dxa"/>
            <w:shd w:val="clear" w:color="auto" w:fill="FBD4B4"/>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eastAsia="zh-CN" w:bidi="ar"/>
              </w:rPr>
            </w:pPr>
            <w:r>
              <w:rPr>
                <w:rFonts w:hint="default" w:ascii="Times New Roman" w:hAnsi="Times New Roman" w:eastAsia="仿宋_GB2312" w:cs="Times New Roman"/>
                <w:b/>
                <w:color w:val="000000"/>
                <w:kern w:val="0"/>
                <w:sz w:val="28"/>
                <w:szCs w:val="28"/>
                <w:lang w:bidi="ar"/>
              </w:rPr>
              <w:t>贫困村数量</w:t>
            </w:r>
            <w:r>
              <w:rPr>
                <w:rFonts w:hint="default" w:ascii="Times New Roman" w:hAnsi="Times New Roman" w:eastAsia="仿宋_GB2312" w:cs="Times New Roman"/>
                <w:b/>
                <w:color w:val="000000"/>
                <w:kern w:val="0"/>
                <w:sz w:val="28"/>
                <w:szCs w:val="28"/>
                <w:lang w:eastAsia="zh-CN" w:bidi="ar"/>
              </w:rPr>
              <w:t>（个）</w:t>
            </w:r>
          </w:p>
        </w:tc>
        <w:tc>
          <w:tcPr>
            <w:tcW w:w="3087" w:type="dxa"/>
            <w:shd w:val="clear" w:color="auto" w:fill="FBD4B4"/>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b/>
                <w:color w:val="000000"/>
                <w:kern w:val="0"/>
                <w:sz w:val="28"/>
                <w:szCs w:val="28"/>
                <w:lang w:bidi="ar"/>
              </w:rPr>
              <w:t>补助资金</w:t>
            </w:r>
            <w:r>
              <w:rPr>
                <w:rFonts w:hint="default" w:ascii="Times New Roman" w:hAnsi="Times New Roman" w:eastAsia="仿宋_GB2312" w:cs="Times New Roman"/>
                <w:b/>
                <w:bCs/>
                <w:color w:val="000000"/>
                <w:kern w:val="0"/>
                <w:sz w:val="28"/>
                <w:szCs w:val="28"/>
              </w:rPr>
              <w:t>（万元）</w:t>
            </w:r>
          </w:p>
        </w:tc>
        <w:tc>
          <w:tcPr>
            <w:tcW w:w="2300" w:type="dxa"/>
            <w:shd w:val="clear" w:color="auto" w:fill="FBD4B4"/>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b/>
                <w:color w:val="000000"/>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b/>
                <w:color w:val="000000"/>
                <w:kern w:val="0"/>
                <w:sz w:val="28"/>
                <w:szCs w:val="28"/>
                <w:lang w:bidi="ar"/>
              </w:rPr>
              <w:t>合计</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b/>
                <w:color w:val="000000"/>
                <w:kern w:val="0"/>
                <w:sz w:val="28"/>
                <w:szCs w:val="28"/>
                <w:lang w:bidi="ar"/>
              </w:rPr>
              <w:t>2277</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b/>
                <w:color w:val="000000"/>
                <w:kern w:val="0"/>
                <w:sz w:val="28"/>
                <w:szCs w:val="28"/>
                <w:lang w:bidi="ar"/>
              </w:rPr>
              <w:t>2,732.40</w:t>
            </w:r>
          </w:p>
        </w:tc>
        <w:tc>
          <w:tcPr>
            <w:tcW w:w="2300" w:type="dxa"/>
            <w:vMerge w:val="restart"/>
            <w:noWrap w:val="0"/>
            <w:vAlign w:val="top"/>
          </w:tcPr>
          <w:p>
            <w:pPr>
              <w:widowControl/>
              <w:spacing w:line="360" w:lineRule="exact"/>
              <w:jc w:val="left"/>
              <w:rPr>
                <w:rFonts w:hint="default" w:ascii="Times New Roman" w:hAnsi="Times New Roman" w:eastAsia="仿宋_GB2312" w:cs="Times New Roman"/>
                <w:color w:val="000000"/>
                <w:kern w:val="0"/>
                <w:sz w:val="28"/>
                <w:szCs w:val="28"/>
                <w:lang w:bidi="ar"/>
              </w:rPr>
            </w:pPr>
          </w:p>
          <w:p>
            <w:pPr>
              <w:widowControl/>
              <w:spacing w:line="360" w:lineRule="exact"/>
              <w:jc w:val="left"/>
              <w:rPr>
                <w:rFonts w:hint="default" w:ascii="Times New Roman" w:hAnsi="Times New Roman" w:eastAsia="仿宋_GB2312" w:cs="Times New Roman"/>
                <w:color w:val="000000"/>
                <w:kern w:val="0"/>
                <w:sz w:val="28"/>
                <w:szCs w:val="28"/>
                <w:lang w:bidi="ar"/>
              </w:rPr>
            </w:pPr>
          </w:p>
          <w:p>
            <w:pPr>
              <w:widowControl/>
              <w:spacing w:line="360" w:lineRule="exact"/>
              <w:jc w:val="left"/>
              <w:rPr>
                <w:rFonts w:hint="default" w:ascii="Times New Roman" w:hAnsi="Times New Roman" w:eastAsia="仿宋_GB2312" w:cs="Times New Roman"/>
                <w:color w:val="000000"/>
                <w:kern w:val="0"/>
                <w:sz w:val="28"/>
                <w:szCs w:val="28"/>
                <w:lang w:bidi="ar"/>
              </w:rPr>
            </w:pPr>
          </w:p>
          <w:p>
            <w:pPr>
              <w:widowControl/>
              <w:spacing w:line="360" w:lineRule="exact"/>
              <w:jc w:val="left"/>
              <w:rPr>
                <w:rFonts w:hint="default" w:ascii="Times New Roman" w:hAnsi="Times New Roman" w:eastAsia="仿宋_GB2312" w:cs="Times New Roman"/>
                <w:color w:val="000000"/>
                <w:kern w:val="0"/>
                <w:sz w:val="28"/>
                <w:szCs w:val="28"/>
                <w:lang w:bidi="ar"/>
              </w:rPr>
            </w:pPr>
          </w:p>
          <w:p>
            <w:pPr>
              <w:widowControl/>
              <w:spacing w:line="360" w:lineRule="exact"/>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补助标准：</w:t>
            </w:r>
          </w:p>
          <w:p>
            <w:pPr>
              <w:widowControl/>
              <w:spacing w:line="360" w:lineRule="exact"/>
              <w:jc w:val="left"/>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eastAsia="zh-CN" w:bidi="ar"/>
              </w:rPr>
              <w:t>省定</w:t>
            </w:r>
            <w:r>
              <w:rPr>
                <w:rFonts w:hint="default" w:ascii="Times New Roman" w:hAnsi="Times New Roman" w:eastAsia="仿宋_GB2312" w:cs="Times New Roman"/>
                <w:color w:val="000000"/>
                <w:kern w:val="0"/>
                <w:sz w:val="28"/>
                <w:szCs w:val="28"/>
                <w:lang w:bidi="ar"/>
              </w:rPr>
              <w:t>贫困村</w:t>
            </w:r>
            <w:r>
              <w:rPr>
                <w:rFonts w:hint="default" w:ascii="Times New Roman" w:hAnsi="Times New Roman" w:eastAsia="仿宋_GB2312" w:cs="Times New Roman"/>
                <w:color w:val="000000"/>
                <w:kern w:val="0"/>
                <w:sz w:val="28"/>
                <w:szCs w:val="28"/>
                <w:lang w:eastAsia="zh-CN" w:bidi="ar"/>
              </w:rPr>
              <w:t>按每村</w:t>
            </w:r>
            <w:r>
              <w:rPr>
                <w:rFonts w:hint="default" w:ascii="Times New Roman" w:hAnsi="Times New Roman" w:eastAsia="仿宋_GB2312" w:cs="Times New Roman"/>
                <w:color w:val="000000"/>
                <w:kern w:val="0"/>
                <w:sz w:val="28"/>
                <w:szCs w:val="28"/>
                <w:lang w:bidi="ar"/>
              </w:rPr>
              <w:t>1.2万元补助。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汕头市</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37</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44.40</w:t>
            </w:r>
          </w:p>
        </w:tc>
        <w:tc>
          <w:tcPr>
            <w:tcW w:w="2300" w:type="dxa"/>
            <w:vMerge w:val="continue"/>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韶关市</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278</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333.60</w:t>
            </w:r>
          </w:p>
        </w:tc>
        <w:tc>
          <w:tcPr>
            <w:tcW w:w="2300" w:type="dxa"/>
            <w:vMerge w:val="continue"/>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河源市</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255</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306.00</w:t>
            </w:r>
          </w:p>
        </w:tc>
        <w:tc>
          <w:tcPr>
            <w:tcW w:w="2300" w:type="dxa"/>
            <w:vMerge w:val="continue"/>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梅州市</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349</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418.80</w:t>
            </w:r>
          </w:p>
        </w:tc>
        <w:tc>
          <w:tcPr>
            <w:tcW w:w="2300" w:type="dxa"/>
            <w:vMerge w:val="continue"/>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惠州市</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46</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55.20</w:t>
            </w:r>
          </w:p>
        </w:tc>
        <w:tc>
          <w:tcPr>
            <w:tcW w:w="2300" w:type="dxa"/>
            <w:vMerge w:val="continue"/>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汕尾市</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142</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170.40</w:t>
            </w:r>
          </w:p>
        </w:tc>
        <w:tc>
          <w:tcPr>
            <w:tcW w:w="2300" w:type="dxa"/>
            <w:vMerge w:val="continue"/>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阳江市</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88</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105.60</w:t>
            </w:r>
          </w:p>
        </w:tc>
        <w:tc>
          <w:tcPr>
            <w:tcW w:w="2300" w:type="dxa"/>
            <w:vMerge w:val="continue"/>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湛江市</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218</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261.60</w:t>
            </w:r>
          </w:p>
        </w:tc>
        <w:tc>
          <w:tcPr>
            <w:tcW w:w="2300" w:type="dxa"/>
            <w:vMerge w:val="continue"/>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茂名市</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180</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216.00</w:t>
            </w:r>
          </w:p>
        </w:tc>
        <w:tc>
          <w:tcPr>
            <w:tcW w:w="2300" w:type="dxa"/>
            <w:vMerge w:val="continue"/>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肇庆市</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111</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133.20</w:t>
            </w:r>
          </w:p>
        </w:tc>
        <w:tc>
          <w:tcPr>
            <w:tcW w:w="2300" w:type="dxa"/>
            <w:vMerge w:val="continue"/>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清远市</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261</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313.20</w:t>
            </w:r>
          </w:p>
        </w:tc>
        <w:tc>
          <w:tcPr>
            <w:tcW w:w="2300" w:type="dxa"/>
            <w:vMerge w:val="continue"/>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潮州市</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45</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54.00</w:t>
            </w:r>
          </w:p>
        </w:tc>
        <w:tc>
          <w:tcPr>
            <w:tcW w:w="2300" w:type="dxa"/>
            <w:vMerge w:val="continue"/>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161"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揭阳市</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162</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194.40</w:t>
            </w:r>
          </w:p>
        </w:tc>
        <w:tc>
          <w:tcPr>
            <w:tcW w:w="2300" w:type="dxa"/>
            <w:vMerge w:val="continue"/>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161"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云浮市</w:t>
            </w:r>
          </w:p>
        </w:tc>
        <w:tc>
          <w:tcPr>
            <w:tcW w:w="1888"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105</w:t>
            </w:r>
          </w:p>
        </w:tc>
        <w:tc>
          <w:tcPr>
            <w:tcW w:w="3087" w:type="dxa"/>
            <w:noWrap w:val="0"/>
            <w:vAlign w:val="top"/>
          </w:tcPr>
          <w:p>
            <w:pPr>
              <w:widowControl/>
              <w:spacing w:line="360" w:lineRule="exact"/>
              <w:jc w:val="center"/>
              <w:rPr>
                <w:rFonts w:hint="default" w:ascii="Times New Roman" w:hAnsi="Times New Roman" w:eastAsia="仿宋_GB2312" w:cs="Times New Roman"/>
                <w:b/>
                <w:color w:val="000000"/>
                <w:kern w:val="0"/>
                <w:sz w:val="28"/>
                <w:szCs w:val="28"/>
                <w:lang w:bidi="ar"/>
              </w:rPr>
            </w:pPr>
            <w:r>
              <w:rPr>
                <w:rFonts w:hint="default" w:ascii="Times New Roman" w:hAnsi="Times New Roman" w:eastAsia="仿宋_GB2312" w:cs="Times New Roman"/>
                <w:color w:val="000000"/>
                <w:kern w:val="0"/>
                <w:sz w:val="28"/>
                <w:szCs w:val="28"/>
                <w:lang w:bidi="ar"/>
              </w:rPr>
              <w:t>126.00</w:t>
            </w:r>
          </w:p>
        </w:tc>
        <w:tc>
          <w:tcPr>
            <w:tcW w:w="2300" w:type="dxa"/>
            <w:vMerge w:val="continue"/>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p>
        </w:tc>
      </w:tr>
    </w:tbl>
    <w:p>
      <w:pPr>
        <w:widowControl/>
        <w:spacing w:beforeLines="0" w:afterLines="0" w:line="560" w:lineRule="exact"/>
        <w:ind w:firstLine="606" w:firstLineChars="20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sz w:val="32"/>
          <w:szCs w:val="32"/>
          <w:lang w:val="en-US" w:eastAsia="zh-CN"/>
        </w:rPr>
        <w:t>2.</w:t>
      </w:r>
      <w:r>
        <w:rPr>
          <w:rFonts w:hint="default" w:ascii="Times New Roman" w:hAnsi="Times New Roman" w:eastAsia="仿宋_GB2312" w:cs="Times New Roman"/>
          <w:b/>
          <w:bCs/>
          <w:color w:val="000000"/>
          <w:sz w:val="32"/>
          <w:szCs w:val="32"/>
        </w:rPr>
        <w:t>预算执行情况</w:t>
      </w:r>
      <w:r>
        <w:rPr>
          <w:rFonts w:hint="default" w:ascii="Times New Roman" w:hAnsi="Times New Roman" w:eastAsia="仿宋_GB2312" w:cs="Times New Roman"/>
          <w:b/>
          <w:bCs/>
          <w:color w:val="000000"/>
          <w:sz w:val="32"/>
          <w:szCs w:val="32"/>
          <w:lang w:eastAsia="zh-CN"/>
        </w:rPr>
        <w:t>。</w:t>
      </w:r>
    </w:p>
    <w:p>
      <w:pPr>
        <w:widowControl/>
        <w:spacing w:beforeLines="0" w:afterLines="0" w:line="560" w:lineRule="exact"/>
        <w:ind w:firstLine="606"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bidi="ar"/>
        </w:rPr>
        <w:t>截至2020年3月31日，省政府2019年</w:t>
      </w:r>
      <w:r>
        <w:rPr>
          <w:rFonts w:hint="default" w:ascii="Times New Roman" w:hAnsi="Times New Roman" w:eastAsia="仿宋_GB2312" w:cs="Times New Roman"/>
          <w:color w:val="000000"/>
          <w:kern w:val="0"/>
          <w:sz w:val="32"/>
          <w:szCs w:val="32"/>
          <w:lang w:eastAsia="zh-CN" w:bidi="ar"/>
        </w:rPr>
        <w:t>省级十</w:t>
      </w:r>
      <w:r>
        <w:rPr>
          <w:rFonts w:hint="default" w:ascii="Times New Roman" w:hAnsi="Times New Roman" w:eastAsia="仿宋_GB2312" w:cs="Times New Roman"/>
          <w:color w:val="000000"/>
          <w:kern w:val="0"/>
          <w:sz w:val="32"/>
          <w:szCs w:val="32"/>
          <w:lang w:bidi="ar"/>
        </w:rPr>
        <w:t>件民生实事</w:t>
      </w:r>
      <w:r>
        <w:rPr>
          <w:rFonts w:hint="default" w:ascii="Times New Roman" w:hAnsi="Times New Roman" w:eastAsia="仿宋_GB2312" w:cs="Times New Roman"/>
          <w:color w:val="000000"/>
          <w:kern w:val="0"/>
          <w:sz w:val="32"/>
          <w:szCs w:val="32"/>
          <w:lang w:eastAsia="zh-CN" w:bidi="ar"/>
        </w:rPr>
        <w:t>的</w:t>
      </w:r>
      <w:r>
        <w:rPr>
          <w:rFonts w:hint="default" w:ascii="Times New Roman" w:hAnsi="Times New Roman" w:eastAsia="仿宋_GB2312" w:cs="Times New Roman"/>
          <w:color w:val="000000"/>
          <w:kern w:val="0"/>
          <w:sz w:val="32"/>
          <w:szCs w:val="32"/>
          <w:lang w:bidi="ar"/>
        </w:rPr>
        <w:t>加强</w:t>
      </w:r>
      <w:r>
        <w:rPr>
          <w:rFonts w:hint="default" w:ascii="Times New Roman" w:hAnsi="Times New Roman" w:eastAsia="仿宋_GB2312" w:cs="Times New Roman"/>
          <w:color w:val="000000"/>
          <w:kern w:val="0"/>
          <w:sz w:val="32"/>
          <w:szCs w:val="32"/>
          <w:lang w:eastAsia="zh-CN" w:bidi="ar"/>
        </w:rPr>
        <w:t>粤东粤西粤北</w:t>
      </w:r>
      <w:r>
        <w:rPr>
          <w:rFonts w:hint="default" w:ascii="Times New Roman" w:hAnsi="Times New Roman" w:eastAsia="仿宋_GB2312" w:cs="Times New Roman"/>
          <w:color w:val="000000"/>
          <w:kern w:val="0"/>
          <w:sz w:val="32"/>
          <w:szCs w:val="32"/>
          <w:lang w:bidi="ar"/>
        </w:rPr>
        <w:t>基层医疗人才队伍和服务能力建设项目预算</w:t>
      </w:r>
      <w:r>
        <w:rPr>
          <w:rFonts w:hint="default" w:ascii="Times New Roman" w:hAnsi="Times New Roman" w:eastAsia="仿宋_GB2312" w:cs="Times New Roman"/>
          <w:color w:val="000000"/>
          <w:kern w:val="0"/>
          <w:sz w:val="32"/>
          <w:szCs w:val="32"/>
          <w:lang w:eastAsia="zh-CN" w:bidi="ar"/>
        </w:rPr>
        <w:t>资金</w:t>
      </w:r>
      <w:r>
        <w:rPr>
          <w:rFonts w:hint="default" w:ascii="Times New Roman" w:hAnsi="Times New Roman" w:eastAsia="仿宋_GB2312" w:cs="Times New Roman"/>
          <w:color w:val="000000"/>
          <w:kern w:val="0"/>
          <w:sz w:val="32"/>
          <w:szCs w:val="32"/>
        </w:rPr>
        <w:t>实际支出为</w:t>
      </w:r>
      <w:r>
        <w:rPr>
          <w:rFonts w:hint="default" w:ascii="Times New Roman" w:hAnsi="Times New Roman" w:eastAsia="仿宋_GB2312" w:cs="Times New Roman"/>
          <w:color w:val="000000"/>
          <w:kern w:val="0"/>
          <w:sz w:val="32"/>
          <w:szCs w:val="32"/>
          <w:lang w:bidi="ar"/>
        </w:rPr>
        <w:t>43248.65万元</w:t>
      </w:r>
      <w:r>
        <w:rPr>
          <w:rFonts w:hint="default" w:ascii="Times New Roman" w:hAnsi="Times New Roman" w:eastAsia="仿宋_GB2312" w:cs="Times New Roman"/>
          <w:color w:val="000000"/>
          <w:kern w:val="0"/>
          <w:sz w:val="32"/>
          <w:szCs w:val="32"/>
        </w:rPr>
        <w:t>，预算执行率100%。</w:t>
      </w:r>
    </w:p>
    <w:p>
      <w:pPr>
        <w:widowControl/>
        <w:numPr>
          <w:ilvl w:val="0"/>
          <w:numId w:val="0"/>
        </w:numPr>
        <w:spacing w:beforeLines="0" w:afterLines="0" w:line="560" w:lineRule="exact"/>
        <w:ind w:firstLine="606"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kern w:val="0"/>
          <w:sz w:val="32"/>
          <w:szCs w:val="32"/>
          <w:lang w:eastAsia="zh-CN" w:bidi="ar"/>
        </w:rPr>
        <w:t>（三）</w:t>
      </w:r>
      <w:r>
        <w:rPr>
          <w:rFonts w:hint="default" w:ascii="Times New Roman" w:hAnsi="Times New Roman" w:eastAsia="楷体_GB2312" w:cs="Times New Roman"/>
          <w:b w:val="0"/>
          <w:bCs w:val="0"/>
          <w:color w:val="000000"/>
          <w:kern w:val="0"/>
          <w:sz w:val="32"/>
          <w:szCs w:val="32"/>
          <w:lang w:bidi="ar"/>
        </w:rPr>
        <w:t>绩效目标</w:t>
      </w:r>
      <w:r>
        <w:rPr>
          <w:rFonts w:hint="default" w:ascii="Times New Roman" w:hAnsi="Times New Roman" w:eastAsia="楷体_GB2312" w:cs="Times New Roman"/>
          <w:b w:val="0"/>
          <w:bCs w:val="0"/>
          <w:color w:val="000000"/>
          <w:kern w:val="0"/>
          <w:sz w:val="32"/>
          <w:szCs w:val="32"/>
          <w:lang w:eastAsia="zh-CN" w:bidi="ar"/>
        </w:rPr>
        <w:t>设置情况。</w:t>
      </w:r>
    </w:p>
    <w:p>
      <w:pPr>
        <w:widowControl/>
        <w:spacing w:beforeLines="0" w:afterLines="0" w:line="560" w:lineRule="exact"/>
        <w:ind w:firstLine="606" w:firstLineChars="20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2019年</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省政府</w:t>
      </w:r>
      <w:r>
        <w:rPr>
          <w:rFonts w:hint="default" w:ascii="Times New Roman" w:hAnsi="Times New Roman" w:eastAsia="仿宋_GB2312" w:cs="Times New Roman"/>
          <w:color w:val="000000"/>
          <w:kern w:val="0"/>
          <w:sz w:val="32"/>
          <w:szCs w:val="32"/>
          <w:lang w:eastAsia="zh-CN" w:bidi="ar"/>
        </w:rPr>
        <w:t>省级十</w:t>
      </w:r>
      <w:r>
        <w:rPr>
          <w:rFonts w:hint="default" w:ascii="Times New Roman" w:hAnsi="Times New Roman" w:eastAsia="仿宋_GB2312" w:cs="Times New Roman"/>
          <w:color w:val="000000"/>
          <w:kern w:val="0"/>
          <w:sz w:val="32"/>
          <w:szCs w:val="32"/>
          <w:lang w:bidi="ar"/>
        </w:rPr>
        <w:t>件民生实事</w:t>
      </w:r>
      <w:r>
        <w:rPr>
          <w:rFonts w:hint="default" w:ascii="Times New Roman" w:hAnsi="Times New Roman" w:eastAsia="仿宋_GB2312" w:cs="Times New Roman"/>
          <w:color w:val="000000"/>
          <w:kern w:val="0"/>
          <w:sz w:val="32"/>
          <w:szCs w:val="32"/>
          <w:lang w:eastAsia="zh-CN" w:bidi="ar"/>
        </w:rPr>
        <w:t>的</w:t>
      </w:r>
      <w:r>
        <w:rPr>
          <w:rFonts w:hint="default" w:ascii="Times New Roman" w:hAnsi="Times New Roman" w:eastAsia="仿宋_GB2312" w:cs="Times New Roman"/>
          <w:color w:val="000000"/>
          <w:kern w:val="0"/>
          <w:sz w:val="32"/>
          <w:szCs w:val="32"/>
          <w:lang w:bidi="ar"/>
        </w:rPr>
        <w:t>加强</w:t>
      </w:r>
      <w:r>
        <w:rPr>
          <w:rFonts w:hint="default" w:ascii="Times New Roman" w:hAnsi="Times New Roman" w:eastAsia="仿宋_GB2312" w:cs="Times New Roman"/>
          <w:color w:val="000000"/>
          <w:kern w:val="0"/>
          <w:sz w:val="32"/>
          <w:szCs w:val="32"/>
          <w:lang w:eastAsia="zh-CN" w:bidi="ar"/>
        </w:rPr>
        <w:t>粤东粤西粤北</w:t>
      </w:r>
      <w:r>
        <w:rPr>
          <w:rFonts w:hint="default" w:ascii="Times New Roman" w:hAnsi="Times New Roman" w:eastAsia="仿宋_GB2312" w:cs="Times New Roman"/>
          <w:color w:val="000000"/>
          <w:kern w:val="0"/>
          <w:sz w:val="32"/>
          <w:szCs w:val="32"/>
          <w:lang w:bidi="ar"/>
        </w:rPr>
        <w:t>基层医疗人才队伍和服务能力建设</w:t>
      </w:r>
      <w:r>
        <w:rPr>
          <w:rFonts w:hint="default" w:ascii="Times New Roman" w:hAnsi="Times New Roman" w:eastAsia="仿宋_GB2312" w:cs="Times New Roman"/>
          <w:color w:val="000000"/>
          <w:kern w:val="0"/>
          <w:sz w:val="32"/>
          <w:szCs w:val="32"/>
          <w:lang w:eastAsia="zh-CN" w:bidi="ar"/>
        </w:rPr>
        <w:t>项目</w:t>
      </w:r>
      <w:r>
        <w:rPr>
          <w:rFonts w:hint="default" w:ascii="Times New Roman" w:hAnsi="Times New Roman" w:eastAsia="仿宋_GB2312" w:cs="Times New Roman"/>
          <w:color w:val="000000"/>
          <w:kern w:val="0"/>
          <w:sz w:val="32"/>
          <w:szCs w:val="32"/>
          <w:lang w:bidi="ar"/>
        </w:rPr>
        <w:t>对应的专项资金绩效目标</w:t>
      </w:r>
      <w:r>
        <w:rPr>
          <w:rFonts w:hint="default" w:ascii="Times New Roman" w:hAnsi="Times New Roman" w:eastAsia="仿宋_GB2312" w:cs="Times New Roman"/>
          <w:color w:val="000000"/>
          <w:kern w:val="0"/>
          <w:sz w:val="32"/>
          <w:szCs w:val="32"/>
          <w:lang w:eastAsia="zh-CN" w:bidi="ar"/>
        </w:rPr>
        <w:t>情况详</w:t>
      </w:r>
      <w:r>
        <w:rPr>
          <w:rFonts w:hint="default" w:ascii="Times New Roman" w:hAnsi="Times New Roman" w:eastAsia="仿宋_GB2312" w:cs="Times New Roman"/>
          <w:color w:val="000000"/>
          <w:kern w:val="0"/>
          <w:sz w:val="32"/>
          <w:szCs w:val="32"/>
          <w:lang w:bidi="ar"/>
        </w:rPr>
        <w:t>见表4（</w:t>
      </w:r>
      <w:r>
        <w:rPr>
          <w:rFonts w:hint="default" w:ascii="Times New Roman" w:hAnsi="Times New Roman" w:eastAsia="仿宋_GB2312" w:cs="Times New Roman"/>
          <w:color w:val="000000"/>
          <w:kern w:val="0"/>
          <w:sz w:val="32"/>
          <w:szCs w:val="32"/>
          <w:lang w:eastAsia="zh-CN" w:bidi="ar"/>
        </w:rPr>
        <w:t>来源于</w:t>
      </w:r>
      <w:r>
        <w:rPr>
          <w:rFonts w:hint="default" w:ascii="Times New Roman" w:hAnsi="Times New Roman" w:eastAsia="仿宋_GB2312" w:cs="Times New Roman"/>
          <w:color w:val="000000"/>
          <w:kern w:val="0"/>
          <w:sz w:val="32"/>
          <w:szCs w:val="32"/>
          <w:lang w:bidi="ar"/>
        </w:rPr>
        <w:t>《关于安排2019年省级医疗卫生健康事业发展专项资金（第一批）的通知（粤财社〔2019〕42号）》）。</w:t>
      </w:r>
    </w:p>
    <w:p>
      <w:pPr>
        <w:widowControl/>
        <w:spacing w:line="360" w:lineRule="exact"/>
        <w:ind w:firstLine="606" w:firstLineChars="200"/>
        <w:jc w:val="center"/>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kern w:val="0"/>
          <w:sz w:val="32"/>
          <w:szCs w:val="32"/>
          <w:lang w:bidi="ar"/>
        </w:rPr>
        <w:t>表4：</w:t>
      </w:r>
      <w:r>
        <w:rPr>
          <w:rFonts w:hint="default" w:ascii="Times New Roman" w:hAnsi="Times New Roman" w:eastAsia="仿宋_GB2312" w:cs="Times New Roman"/>
          <w:b/>
          <w:bCs/>
          <w:color w:val="000000"/>
          <w:sz w:val="32"/>
          <w:szCs w:val="32"/>
        </w:rPr>
        <w:t>绩效目标表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967"/>
        <w:gridCol w:w="4088"/>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68" w:type="dxa"/>
            <w:shd w:val="clear" w:color="auto" w:fill="FFFFFF"/>
            <w:noWrap w:val="0"/>
            <w:vAlign w:val="top"/>
          </w:tcPr>
          <w:p>
            <w:pPr>
              <w:spacing w:line="360" w:lineRule="exact"/>
              <w:jc w:val="center"/>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项目名称</w:t>
            </w:r>
          </w:p>
        </w:tc>
        <w:tc>
          <w:tcPr>
            <w:tcW w:w="7083" w:type="dxa"/>
            <w:gridSpan w:val="3"/>
            <w:shd w:val="clear" w:color="auto" w:fill="FFFFFF"/>
            <w:noWrap w:val="0"/>
            <w:vAlign w:val="top"/>
          </w:tcPr>
          <w:p>
            <w:pPr>
              <w:spacing w:line="360" w:lineRule="exact"/>
              <w:jc w:val="center"/>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color w:val="000000"/>
                <w:kern w:val="0"/>
                <w:sz w:val="28"/>
                <w:szCs w:val="28"/>
                <w:lang w:bidi="ar"/>
              </w:rPr>
              <w:t>加强</w:t>
            </w:r>
            <w:r>
              <w:rPr>
                <w:rFonts w:hint="default" w:ascii="Times New Roman" w:hAnsi="Times New Roman" w:eastAsia="仿宋_GB2312" w:cs="Times New Roman"/>
                <w:color w:val="000000"/>
                <w:kern w:val="0"/>
                <w:sz w:val="28"/>
                <w:szCs w:val="28"/>
                <w:lang w:eastAsia="zh-CN" w:bidi="ar"/>
              </w:rPr>
              <w:t>粤东粤西粤北</w:t>
            </w:r>
            <w:r>
              <w:rPr>
                <w:rFonts w:hint="default" w:ascii="Times New Roman" w:hAnsi="Times New Roman" w:eastAsia="仿宋_GB2312" w:cs="Times New Roman"/>
                <w:color w:val="000000"/>
                <w:kern w:val="0"/>
                <w:sz w:val="28"/>
                <w:szCs w:val="28"/>
                <w:lang w:bidi="ar"/>
              </w:rPr>
              <w:t>基层医疗人才队伍和服务能力建设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68" w:type="dxa"/>
            <w:shd w:val="clear" w:color="auto" w:fill="FFFFFF"/>
            <w:noWrap w:val="0"/>
            <w:vAlign w:val="top"/>
          </w:tcPr>
          <w:p>
            <w:pPr>
              <w:spacing w:line="360" w:lineRule="exact"/>
              <w:jc w:val="center"/>
              <w:rPr>
                <w:rFonts w:hint="default" w:ascii="Times New Roman" w:hAnsi="Times New Roman" w:eastAsia="仿宋_GB2312" w:cs="Times New Roman"/>
                <w:b/>
                <w:color w:val="000000"/>
                <w:kern w:val="0"/>
                <w:sz w:val="28"/>
                <w:szCs w:val="28"/>
              </w:rPr>
            </w:pPr>
          </w:p>
          <w:p>
            <w:pPr>
              <w:spacing w:line="360" w:lineRule="exact"/>
              <w:jc w:val="center"/>
              <w:rPr>
                <w:rFonts w:hint="default" w:ascii="Times New Roman" w:hAnsi="Times New Roman" w:eastAsia="仿宋_GB2312" w:cs="Times New Roman"/>
                <w:b/>
                <w:color w:val="000000"/>
                <w:kern w:val="0"/>
                <w:sz w:val="28"/>
                <w:szCs w:val="28"/>
              </w:rPr>
            </w:pPr>
          </w:p>
          <w:p>
            <w:pPr>
              <w:spacing w:line="360" w:lineRule="exact"/>
              <w:jc w:val="center"/>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年度</w:t>
            </w:r>
          </w:p>
          <w:p>
            <w:pPr>
              <w:spacing w:line="360" w:lineRule="exact"/>
              <w:jc w:val="center"/>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总目标</w:t>
            </w:r>
          </w:p>
        </w:tc>
        <w:tc>
          <w:tcPr>
            <w:tcW w:w="7083" w:type="dxa"/>
            <w:gridSpan w:val="3"/>
            <w:shd w:val="clear" w:color="auto" w:fill="FFFFFF"/>
            <w:noWrap w:val="0"/>
            <w:vAlign w:val="top"/>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欠发达地区招收了1400名订单定向医学生，规范化培训（助理）全科医生1080名、转岗（岗位）培训全科医生（含二级以上医院专科医师转岗（岗位）培训医生）4501名，招收住院医师规范化培训对象（社会人学员）2980名，转岗培训1000名产科医生（含助产士）和360名儿科医生。培训240名家庭医生签约服务骨干师资。为47家升级卫生院完成100名首席专家的招聘，并到岗工作；为经济欠发达地区县级医疗卫生机构分别招聘300名专家特岗和850名高校医学毕业生。</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精准扶贫村智能健康监测设备配备率100%，支持开展远程问诊、远程会诊、远程教育等远程医疗服务。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68" w:type="dxa"/>
            <w:shd w:val="clear" w:color="auto" w:fill="FFFFFF"/>
            <w:noWrap w:val="0"/>
            <w:vAlign w:val="top"/>
          </w:tcPr>
          <w:p>
            <w:pPr>
              <w:spacing w:line="360" w:lineRule="exact"/>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一级指标</w:t>
            </w:r>
          </w:p>
        </w:tc>
        <w:tc>
          <w:tcPr>
            <w:tcW w:w="1967" w:type="dxa"/>
            <w:shd w:val="clear" w:color="auto" w:fill="FFFFFF"/>
            <w:noWrap w:val="0"/>
            <w:vAlign w:val="top"/>
          </w:tcPr>
          <w:p>
            <w:pPr>
              <w:spacing w:line="360" w:lineRule="exact"/>
              <w:jc w:val="center"/>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二级指标</w:t>
            </w:r>
          </w:p>
        </w:tc>
        <w:tc>
          <w:tcPr>
            <w:tcW w:w="4088" w:type="dxa"/>
            <w:shd w:val="clear" w:color="auto" w:fill="FFFFFF"/>
            <w:noWrap w:val="0"/>
            <w:vAlign w:val="top"/>
          </w:tcPr>
          <w:p>
            <w:pPr>
              <w:spacing w:line="360" w:lineRule="exact"/>
              <w:jc w:val="center"/>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三级指标</w:t>
            </w:r>
          </w:p>
        </w:tc>
        <w:tc>
          <w:tcPr>
            <w:tcW w:w="1028" w:type="dxa"/>
            <w:shd w:val="clear" w:color="auto" w:fill="FFFFFF"/>
            <w:noWrap w:val="0"/>
            <w:vAlign w:val="top"/>
          </w:tcPr>
          <w:p>
            <w:pPr>
              <w:spacing w:line="360" w:lineRule="exact"/>
              <w:jc w:val="center"/>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68" w:type="dxa"/>
            <w:vMerge w:val="restart"/>
            <w:noWrap w:val="0"/>
            <w:vAlign w:val="top"/>
          </w:tcPr>
          <w:p>
            <w:pPr>
              <w:spacing w:line="360" w:lineRule="exact"/>
              <w:rPr>
                <w:rFonts w:hint="default" w:ascii="Times New Roman" w:hAnsi="Times New Roman" w:eastAsia="仿宋_GB2312" w:cs="Times New Roman"/>
                <w:color w:val="000000"/>
                <w:kern w:val="0"/>
                <w:sz w:val="28"/>
                <w:szCs w:val="28"/>
              </w:rPr>
            </w:pPr>
          </w:p>
          <w:p>
            <w:pPr>
              <w:spacing w:line="360" w:lineRule="exact"/>
              <w:rPr>
                <w:rFonts w:hint="default" w:ascii="Times New Roman" w:hAnsi="Times New Roman" w:eastAsia="仿宋_GB2312" w:cs="Times New Roman"/>
                <w:color w:val="000000"/>
                <w:kern w:val="0"/>
                <w:sz w:val="28"/>
                <w:szCs w:val="28"/>
              </w:rPr>
            </w:pPr>
          </w:p>
          <w:p>
            <w:pPr>
              <w:spacing w:line="36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产出指标</w:t>
            </w:r>
          </w:p>
        </w:tc>
        <w:tc>
          <w:tcPr>
            <w:tcW w:w="1967" w:type="dxa"/>
            <w:vMerge w:val="restart"/>
            <w:noWrap w:val="0"/>
            <w:vAlign w:val="top"/>
          </w:tcPr>
          <w:p>
            <w:pPr>
              <w:spacing w:line="360" w:lineRule="exact"/>
              <w:rPr>
                <w:rFonts w:hint="default" w:ascii="Times New Roman" w:hAnsi="Times New Roman" w:eastAsia="仿宋_GB2312" w:cs="Times New Roman"/>
                <w:color w:val="000000"/>
                <w:sz w:val="28"/>
                <w:szCs w:val="28"/>
              </w:rPr>
            </w:pPr>
          </w:p>
          <w:p>
            <w:pPr>
              <w:spacing w:line="360" w:lineRule="exact"/>
              <w:rPr>
                <w:rFonts w:hint="default" w:ascii="Times New Roman" w:hAnsi="Times New Roman" w:eastAsia="仿宋_GB2312" w:cs="Times New Roman"/>
                <w:color w:val="000000"/>
                <w:sz w:val="28"/>
                <w:szCs w:val="28"/>
              </w:rPr>
            </w:pPr>
          </w:p>
          <w:p>
            <w:pPr>
              <w:spacing w:line="36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数量指标</w:t>
            </w:r>
          </w:p>
        </w:tc>
        <w:tc>
          <w:tcPr>
            <w:tcW w:w="4088" w:type="dxa"/>
            <w:noWrap w:val="0"/>
            <w:vAlign w:val="top"/>
          </w:tcPr>
          <w:p>
            <w:pPr>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百名首席专家下基层计划补助资金省级财政拨付率</w:t>
            </w:r>
          </w:p>
        </w:tc>
        <w:tc>
          <w:tcPr>
            <w:tcW w:w="1028" w:type="dxa"/>
            <w:noWrap w:val="0"/>
            <w:vAlign w:val="top"/>
          </w:tcPr>
          <w:p>
            <w:pPr>
              <w:spacing w:line="3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z w:val="28"/>
                <w:szCs w:val="28"/>
                <w:shd w:val="clear" w:color="auto" w:fill="FFFFFF"/>
              </w:rPr>
              <w:t>10</w:t>
            </w:r>
            <w:r>
              <w:rPr>
                <w:rFonts w:hint="default" w:ascii="Times New Roman" w:hAnsi="Times New Roman" w:eastAsia="仿宋_GB2312" w:cs="Times New Roman"/>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68" w:type="dxa"/>
            <w:vMerge w:val="continue"/>
            <w:noWrap w:val="0"/>
            <w:vAlign w:val="top"/>
          </w:tcPr>
          <w:p>
            <w:pPr>
              <w:spacing w:line="360" w:lineRule="exact"/>
              <w:rPr>
                <w:rFonts w:hint="default" w:ascii="Times New Roman" w:hAnsi="Times New Roman" w:eastAsia="仿宋_GB2312" w:cs="Times New Roman"/>
                <w:color w:val="000000"/>
                <w:kern w:val="0"/>
                <w:sz w:val="28"/>
                <w:szCs w:val="28"/>
              </w:rPr>
            </w:pPr>
          </w:p>
        </w:tc>
        <w:tc>
          <w:tcPr>
            <w:tcW w:w="1967" w:type="dxa"/>
            <w:vMerge w:val="continue"/>
            <w:noWrap w:val="0"/>
            <w:vAlign w:val="top"/>
          </w:tcPr>
          <w:p>
            <w:pPr>
              <w:spacing w:line="360" w:lineRule="exact"/>
              <w:rPr>
                <w:rFonts w:hint="default" w:ascii="Times New Roman" w:hAnsi="Times New Roman" w:eastAsia="仿宋_GB2312" w:cs="Times New Roman"/>
                <w:color w:val="000000"/>
                <w:sz w:val="28"/>
                <w:szCs w:val="28"/>
              </w:rPr>
            </w:pPr>
          </w:p>
        </w:tc>
        <w:tc>
          <w:tcPr>
            <w:tcW w:w="4088" w:type="dxa"/>
            <w:noWrap w:val="0"/>
            <w:vAlign w:val="top"/>
          </w:tcPr>
          <w:p>
            <w:pPr>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千名高校毕业生下基层计划补助资金省级财政拨付率</w:t>
            </w:r>
          </w:p>
        </w:tc>
        <w:tc>
          <w:tcPr>
            <w:tcW w:w="1028" w:type="dxa"/>
            <w:noWrap w:val="0"/>
            <w:vAlign w:val="top"/>
          </w:tcPr>
          <w:p>
            <w:pPr>
              <w:spacing w:line="3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z w:val="28"/>
                <w:szCs w:val="28"/>
                <w:shd w:val="clear" w:color="auto" w:fill="FFFFFF"/>
              </w:rPr>
              <w:t>10</w:t>
            </w:r>
            <w:r>
              <w:rPr>
                <w:rFonts w:hint="default" w:ascii="Times New Roman" w:hAnsi="Times New Roman" w:eastAsia="仿宋_GB2312" w:cs="Times New Roman"/>
                <w:color w:val="000000"/>
                <w:kern w:val="0"/>
                <w:sz w:val="28"/>
                <w:szCs w:val="28"/>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68" w:type="dxa"/>
            <w:vMerge w:val="continue"/>
            <w:noWrap w:val="0"/>
            <w:vAlign w:val="top"/>
          </w:tcPr>
          <w:p>
            <w:pPr>
              <w:spacing w:line="360" w:lineRule="exact"/>
              <w:rPr>
                <w:rFonts w:hint="default" w:ascii="Times New Roman" w:hAnsi="Times New Roman" w:eastAsia="仿宋_GB2312" w:cs="Times New Roman"/>
                <w:color w:val="000000"/>
                <w:kern w:val="0"/>
                <w:sz w:val="28"/>
                <w:szCs w:val="28"/>
              </w:rPr>
            </w:pPr>
          </w:p>
        </w:tc>
        <w:tc>
          <w:tcPr>
            <w:tcW w:w="1967" w:type="dxa"/>
            <w:vMerge w:val="continue"/>
            <w:noWrap w:val="0"/>
            <w:vAlign w:val="top"/>
          </w:tcPr>
          <w:p>
            <w:pPr>
              <w:spacing w:line="360" w:lineRule="exact"/>
              <w:rPr>
                <w:rFonts w:hint="default" w:ascii="Times New Roman" w:hAnsi="Times New Roman" w:eastAsia="仿宋_GB2312" w:cs="Times New Roman"/>
                <w:color w:val="000000"/>
                <w:sz w:val="28"/>
                <w:szCs w:val="28"/>
              </w:rPr>
            </w:pPr>
          </w:p>
        </w:tc>
        <w:tc>
          <w:tcPr>
            <w:tcW w:w="4088" w:type="dxa"/>
            <w:noWrap w:val="0"/>
            <w:vAlign w:val="top"/>
          </w:tcPr>
          <w:p>
            <w:pPr>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专科特设岗位专家招聘到位率</w:t>
            </w:r>
          </w:p>
        </w:tc>
        <w:tc>
          <w:tcPr>
            <w:tcW w:w="1028" w:type="dxa"/>
            <w:noWrap w:val="0"/>
            <w:vAlign w:val="center"/>
          </w:tcPr>
          <w:p>
            <w:pPr>
              <w:spacing w:line="36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shd w:val="clear" w:color="auto" w:fill="FFFFFF"/>
              </w:rPr>
              <w:t>10</w:t>
            </w:r>
            <w:r>
              <w:rPr>
                <w:rFonts w:hint="default" w:ascii="Times New Roman" w:hAnsi="Times New Roman" w:eastAsia="仿宋_GB2312" w:cs="Times New Roman"/>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468" w:type="dxa"/>
            <w:vMerge w:val="continue"/>
            <w:noWrap w:val="0"/>
            <w:vAlign w:val="top"/>
          </w:tcPr>
          <w:p>
            <w:pPr>
              <w:spacing w:line="360" w:lineRule="exact"/>
              <w:rPr>
                <w:rFonts w:hint="default" w:ascii="Times New Roman" w:hAnsi="Times New Roman" w:eastAsia="仿宋_GB2312" w:cs="Times New Roman"/>
                <w:color w:val="000000"/>
                <w:kern w:val="0"/>
                <w:sz w:val="28"/>
                <w:szCs w:val="28"/>
              </w:rPr>
            </w:pPr>
          </w:p>
        </w:tc>
        <w:tc>
          <w:tcPr>
            <w:tcW w:w="1967" w:type="dxa"/>
            <w:vMerge w:val="continue"/>
            <w:noWrap w:val="0"/>
            <w:vAlign w:val="top"/>
          </w:tcPr>
          <w:p>
            <w:pPr>
              <w:spacing w:line="360" w:lineRule="exact"/>
              <w:rPr>
                <w:rFonts w:hint="default" w:ascii="Times New Roman" w:hAnsi="Times New Roman" w:eastAsia="仿宋_GB2312" w:cs="Times New Roman"/>
                <w:color w:val="000000"/>
                <w:sz w:val="28"/>
                <w:szCs w:val="28"/>
              </w:rPr>
            </w:pPr>
          </w:p>
        </w:tc>
        <w:tc>
          <w:tcPr>
            <w:tcW w:w="4088" w:type="dxa"/>
            <w:noWrap w:val="0"/>
            <w:vAlign w:val="top"/>
          </w:tcPr>
          <w:p>
            <w:pPr>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招生率</w:t>
            </w:r>
          </w:p>
        </w:tc>
        <w:tc>
          <w:tcPr>
            <w:tcW w:w="1028" w:type="dxa"/>
            <w:noWrap w:val="0"/>
            <w:vAlign w:val="top"/>
          </w:tcPr>
          <w:p>
            <w:pPr>
              <w:spacing w:line="36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shd w:val="clear" w:color="auto" w:fill="FFFFFF"/>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468" w:type="dxa"/>
            <w:vMerge w:val="continue"/>
            <w:noWrap w:val="0"/>
            <w:vAlign w:val="top"/>
          </w:tcPr>
          <w:p>
            <w:pPr>
              <w:spacing w:line="360" w:lineRule="exact"/>
              <w:rPr>
                <w:rFonts w:hint="default" w:ascii="Times New Roman" w:hAnsi="Times New Roman" w:eastAsia="仿宋_GB2312" w:cs="Times New Roman"/>
                <w:color w:val="000000"/>
                <w:kern w:val="0"/>
                <w:sz w:val="28"/>
                <w:szCs w:val="28"/>
              </w:rPr>
            </w:pPr>
          </w:p>
        </w:tc>
        <w:tc>
          <w:tcPr>
            <w:tcW w:w="1967" w:type="dxa"/>
            <w:vMerge w:val="continue"/>
            <w:noWrap w:val="0"/>
            <w:vAlign w:val="top"/>
          </w:tcPr>
          <w:p>
            <w:pPr>
              <w:spacing w:line="360" w:lineRule="exact"/>
              <w:rPr>
                <w:rFonts w:hint="default" w:ascii="Times New Roman" w:hAnsi="Times New Roman" w:eastAsia="仿宋_GB2312" w:cs="Times New Roman"/>
                <w:color w:val="000000"/>
                <w:sz w:val="28"/>
                <w:szCs w:val="28"/>
              </w:rPr>
            </w:pPr>
          </w:p>
        </w:tc>
        <w:tc>
          <w:tcPr>
            <w:tcW w:w="4088" w:type="dxa"/>
            <w:noWrap w:val="0"/>
            <w:vAlign w:val="top"/>
          </w:tcPr>
          <w:p>
            <w:pPr>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设备交付率</w:t>
            </w:r>
          </w:p>
        </w:tc>
        <w:tc>
          <w:tcPr>
            <w:tcW w:w="1028" w:type="dxa"/>
            <w:noWrap w:val="0"/>
            <w:vAlign w:val="top"/>
          </w:tcPr>
          <w:p>
            <w:pPr>
              <w:spacing w:line="3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z w:val="28"/>
                <w:szCs w:val="28"/>
                <w:shd w:val="clear" w:color="auto" w:fill="FFFFFF"/>
              </w:rPr>
              <w:t>10</w:t>
            </w:r>
            <w:r>
              <w:rPr>
                <w:rFonts w:hint="default" w:ascii="Times New Roman" w:hAnsi="Times New Roman" w:eastAsia="仿宋_GB2312" w:cs="Times New Roman"/>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468" w:type="dxa"/>
            <w:vMerge w:val="continue"/>
            <w:noWrap w:val="0"/>
            <w:vAlign w:val="top"/>
          </w:tcPr>
          <w:p>
            <w:pPr>
              <w:spacing w:line="360" w:lineRule="exact"/>
              <w:rPr>
                <w:rFonts w:hint="default" w:ascii="Times New Roman" w:hAnsi="Times New Roman" w:eastAsia="仿宋_GB2312" w:cs="Times New Roman"/>
                <w:color w:val="000000"/>
                <w:kern w:val="0"/>
                <w:sz w:val="28"/>
                <w:szCs w:val="28"/>
              </w:rPr>
            </w:pPr>
          </w:p>
        </w:tc>
        <w:tc>
          <w:tcPr>
            <w:tcW w:w="1967" w:type="dxa"/>
            <w:vMerge w:val="restart"/>
            <w:noWrap w:val="0"/>
            <w:vAlign w:val="top"/>
          </w:tcPr>
          <w:p>
            <w:pPr>
              <w:spacing w:line="36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质量指标</w:t>
            </w:r>
          </w:p>
        </w:tc>
        <w:tc>
          <w:tcPr>
            <w:tcW w:w="4088" w:type="dxa"/>
            <w:noWrap w:val="0"/>
            <w:vAlign w:val="top"/>
          </w:tcPr>
          <w:p>
            <w:pPr>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培训合格率</w:t>
            </w:r>
          </w:p>
        </w:tc>
        <w:tc>
          <w:tcPr>
            <w:tcW w:w="1028" w:type="dxa"/>
            <w:noWrap w:val="0"/>
            <w:vAlign w:val="top"/>
          </w:tcPr>
          <w:p>
            <w:pPr>
              <w:spacing w:line="36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shd w:val="clear" w:color="auto" w:fill="FFFFFF"/>
              </w:rPr>
              <w:t>90</w:t>
            </w:r>
            <w:r>
              <w:rPr>
                <w:rFonts w:hint="default" w:ascii="Times New Roman" w:hAnsi="Times New Roman" w:eastAsia="仿宋_GB2312" w:cs="Times New Roman"/>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1468" w:type="dxa"/>
            <w:vMerge w:val="continue"/>
            <w:noWrap w:val="0"/>
            <w:vAlign w:val="top"/>
          </w:tcPr>
          <w:p>
            <w:pPr>
              <w:spacing w:line="360" w:lineRule="exact"/>
              <w:rPr>
                <w:rFonts w:hint="default" w:ascii="Times New Roman" w:hAnsi="Times New Roman" w:eastAsia="仿宋_GB2312" w:cs="Times New Roman"/>
                <w:color w:val="000000"/>
                <w:kern w:val="0"/>
                <w:sz w:val="28"/>
                <w:szCs w:val="28"/>
              </w:rPr>
            </w:pPr>
          </w:p>
        </w:tc>
        <w:tc>
          <w:tcPr>
            <w:tcW w:w="1967" w:type="dxa"/>
            <w:vMerge w:val="continue"/>
            <w:noWrap w:val="0"/>
            <w:vAlign w:val="top"/>
          </w:tcPr>
          <w:p>
            <w:pPr>
              <w:spacing w:line="360" w:lineRule="exact"/>
              <w:jc w:val="center"/>
              <w:rPr>
                <w:rFonts w:hint="default" w:ascii="Times New Roman" w:hAnsi="Times New Roman" w:eastAsia="仿宋_GB2312" w:cs="Times New Roman"/>
                <w:color w:val="000000"/>
                <w:sz w:val="28"/>
                <w:szCs w:val="28"/>
              </w:rPr>
            </w:pPr>
          </w:p>
        </w:tc>
        <w:tc>
          <w:tcPr>
            <w:tcW w:w="4088" w:type="dxa"/>
            <w:noWrap w:val="0"/>
            <w:vAlign w:val="top"/>
          </w:tcPr>
          <w:p>
            <w:pPr>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系统验收合格率</w:t>
            </w:r>
          </w:p>
        </w:tc>
        <w:tc>
          <w:tcPr>
            <w:tcW w:w="1028" w:type="dxa"/>
            <w:noWrap w:val="0"/>
            <w:vAlign w:val="top"/>
          </w:tcPr>
          <w:p>
            <w:pPr>
              <w:spacing w:line="36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shd w:val="clear" w:color="auto" w:fill="FFFFFF"/>
              </w:rPr>
              <w:t>10</w:t>
            </w:r>
            <w:r>
              <w:rPr>
                <w:rFonts w:hint="default" w:ascii="Times New Roman" w:hAnsi="Times New Roman" w:eastAsia="仿宋_GB2312" w:cs="Times New Roman"/>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468" w:type="dxa"/>
            <w:vMerge w:val="restart"/>
            <w:noWrap w:val="0"/>
            <w:vAlign w:val="top"/>
          </w:tcPr>
          <w:p>
            <w:pPr>
              <w:spacing w:line="36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效益指标</w:t>
            </w:r>
          </w:p>
        </w:tc>
        <w:tc>
          <w:tcPr>
            <w:tcW w:w="1967" w:type="dxa"/>
            <w:vMerge w:val="restart"/>
            <w:noWrap w:val="0"/>
            <w:vAlign w:val="top"/>
          </w:tcPr>
          <w:p>
            <w:pPr>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社会效益指标</w:t>
            </w:r>
          </w:p>
        </w:tc>
        <w:tc>
          <w:tcPr>
            <w:tcW w:w="4088" w:type="dxa"/>
            <w:noWrap w:val="0"/>
            <w:vAlign w:val="top"/>
          </w:tcPr>
          <w:p>
            <w:pPr>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县域内住院率</w:t>
            </w:r>
          </w:p>
        </w:tc>
        <w:tc>
          <w:tcPr>
            <w:tcW w:w="1028" w:type="dxa"/>
            <w:noWrap w:val="0"/>
            <w:vAlign w:val="top"/>
          </w:tcPr>
          <w:p>
            <w:pPr>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1468" w:type="dxa"/>
            <w:vMerge w:val="continue"/>
            <w:noWrap w:val="0"/>
            <w:vAlign w:val="top"/>
          </w:tcPr>
          <w:p>
            <w:pPr>
              <w:spacing w:line="360" w:lineRule="exact"/>
              <w:rPr>
                <w:rFonts w:hint="default" w:ascii="Times New Roman" w:hAnsi="Times New Roman" w:eastAsia="仿宋_GB2312" w:cs="Times New Roman"/>
                <w:color w:val="000000"/>
                <w:kern w:val="0"/>
                <w:sz w:val="28"/>
                <w:szCs w:val="28"/>
              </w:rPr>
            </w:pPr>
          </w:p>
        </w:tc>
        <w:tc>
          <w:tcPr>
            <w:tcW w:w="1967" w:type="dxa"/>
            <w:vMerge w:val="continue"/>
            <w:noWrap w:val="0"/>
            <w:vAlign w:val="top"/>
          </w:tcPr>
          <w:p>
            <w:pPr>
              <w:spacing w:line="360" w:lineRule="exact"/>
              <w:rPr>
                <w:rFonts w:hint="default" w:ascii="Times New Roman" w:hAnsi="Times New Roman" w:eastAsia="仿宋_GB2312" w:cs="Times New Roman"/>
                <w:color w:val="000000"/>
                <w:sz w:val="28"/>
                <w:szCs w:val="28"/>
              </w:rPr>
            </w:pPr>
          </w:p>
        </w:tc>
        <w:tc>
          <w:tcPr>
            <w:tcW w:w="4088" w:type="dxa"/>
            <w:noWrap w:val="0"/>
            <w:vAlign w:val="top"/>
          </w:tcPr>
          <w:p>
            <w:pPr>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系统正常运行率</w:t>
            </w:r>
          </w:p>
        </w:tc>
        <w:tc>
          <w:tcPr>
            <w:tcW w:w="1028" w:type="dxa"/>
            <w:noWrap w:val="0"/>
            <w:vAlign w:val="top"/>
          </w:tcPr>
          <w:p>
            <w:pPr>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sz w:val="28"/>
                <w:szCs w:val="28"/>
                <w:shd w:val="clear" w:color="auto" w:fill="FFFFFF"/>
              </w:rPr>
              <w:t>10</w:t>
            </w:r>
            <w:r>
              <w:rPr>
                <w:rFonts w:hint="default" w:ascii="Times New Roman" w:hAnsi="Times New Roman" w:eastAsia="仿宋_GB2312" w:cs="Times New Roman"/>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468" w:type="dxa"/>
            <w:vMerge w:val="continue"/>
            <w:noWrap w:val="0"/>
            <w:vAlign w:val="top"/>
          </w:tcPr>
          <w:p>
            <w:pPr>
              <w:spacing w:line="360" w:lineRule="exact"/>
              <w:rPr>
                <w:rFonts w:hint="default" w:ascii="Times New Roman" w:hAnsi="Times New Roman" w:eastAsia="仿宋_GB2312" w:cs="Times New Roman"/>
                <w:color w:val="000000"/>
                <w:kern w:val="0"/>
                <w:sz w:val="28"/>
                <w:szCs w:val="28"/>
              </w:rPr>
            </w:pPr>
          </w:p>
        </w:tc>
        <w:tc>
          <w:tcPr>
            <w:tcW w:w="1967" w:type="dxa"/>
            <w:vMerge w:val="continue"/>
            <w:noWrap w:val="0"/>
            <w:vAlign w:val="top"/>
          </w:tcPr>
          <w:p>
            <w:pPr>
              <w:spacing w:line="360" w:lineRule="exact"/>
              <w:rPr>
                <w:rFonts w:hint="default" w:ascii="Times New Roman" w:hAnsi="Times New Roman" w:eastAsia="仿宋_GB2312" w:cs="Times New Roman"/>
                <w:color w:val="000000"/>
                <w:sz w:val="28"/>
                <w:szCs w:val="28"/>
              </w:rPr>
            </w:pPr>
          </w:p>
        </w:tc>
        <w:tc>
          <w:tcPr>
            <w:tcW w:w="4088" w:type="dxa"/>
            <w:noWrap w:val="0"/>
            <w:vAlign w:val="top"/>
          </w:tcPr>
          <w:p>
            <w:pPr>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设备采购经济性</w:t>
            </w:r>
          </w:p>
        </w:tc>
        <w:tc>
          <w:tcPr>
            <w:tcW w:w="1028" w:type="dxa"/>
            <w:noWrap w:val="0"/>
            <w:vAlign w:val="top"/>
          </w:tcPr>
          <w:p>
            <w:pPr>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sz w:val="28"/>
                <w:szCs w:val="28"/>
                <w:shd w:val="clear" w:color="auto" w:fill="FFFFFF"/>
              </w:rPr>
              <w:t>10</w:t>
            </w:r>
            <w:r>
              <w:rPr>
                <w:rFonts w:hint="default" w:ascii="Times New Roman" w:hAnsi="Times New Roman" w:eastAsia="仿宋_GB2312" w:cs="Times New Roman"/>
                <w:color w:val="000000"/>
                <w:sz w:val="28"/>
                <w:szCs w:val="28"/>
              </w:rPr>
              <w:t>0</w:t>
            </w:r>
            <w:r>
              <w:rPr>
                <w:rFonts w:hint="default" w:ascii="Times New Roman" w:hAnsi="Times New Roman" w:eastAsia="仿宋_GB2312" w:cs="Times New Roman"/>
                <w:color w:val="000000"/>
                <w:sz w:val="28"/>
                <w:szCs w:val="2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68" w:type="dxa"/>
            <w:vMerge w:val="continue"/>
            <w:noWrap w:val="0"/>
            <w:vAlign w:val="top"/>
          </w:tcPr>
          <w:p>
            <w:pPr>
              <w:spacing w:line="360" w:lineRule="exact"/>
              <w:rPr>
                <w:rFonts w:hint="default" w:ascii="Times New Roman" w:hAnsi="Times New Roman" w:eastAsia="仿宋_GB2312" w:cs="Times New Roman"/>
                <w:color w:val="000000"/>
                <w:kern w:val="0"/>
                <w:sz w:val="28"/>
                <w:szCs w:val="28"/>
              </w:rPr>
            </w:pPr>
          </w:p>
        </w:tc>
        <w:tc>
          <w:tcPr>
            <w:tcW w:w="1967" w:type="dxa"/>
            <w:noWrap w:val="0"/>
            <w:vAlign w:val="top"/>
          </w:tcPr>
          <w:p>
            <w:pPr>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满意度指标</w:t>
            </w:r>
          </w:p>
        </w:tc>
        <w:tc>
          <w:tcPr>
            <w:tcW w:w="4088" w:type="dxa"/>
            <w:noWrap w:val="0"/>
            <w:vAlign w:val="top"/>
          </w:tcPr>
          <w:p>
            <w:pPr>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培训满意度</w:t>
            </w:r>
          </w:p>
        </w:tc>
        <w:tc>
          <w:tcPr>
            <w:tcW w:w="1028" w:type="dxa"/>
            <w:noWrap w:val="0"/>
            <w:vAlign w:val="top"/>
          </w:tcPr>
          <w:p>
            <w:pPr>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sz w:val="28"/>
                <w:szCs w:val="28"/>
                <w:shd w:val="clear" w:color="auto" w:fill="FFFFFF"/>
              </w:rPr>
              <w:t>85%</w:t>
            </w:r>
          </w:p>
        </w:tc>
      </w:tr>
    </w:tbl>
    <w:p>
      <w:pPr>
        <w:widowControl/>
        <w:spacing w:beforeLines="0" w:afterLines="0" w:line="560" w:lineRule="exact"/>
        <w:ind w:firstLine="0" w:firstLineChars="0"/>
        <w:rPr>
          <w:rFonts w:hint="default" w:ascii="Times New Roman" w:hAnsi="Times New Roman" w:eastAsia="黑体" w:cs="Times New Roman"/>
          <w:b/>
          <w:bCs/>
          <w:color w:val="000000"/>
          <w:kern w:val="0"/>
          <w:sz w:val="32"/>
          <w:szCs w:val="32"/>
          <w:lang w:bidi="ar"/>
        </w:rPr>
      </w:pPr>
    </w:p>
    <w:p>
      <w:pPr>
        <w:widowControl/>
        <w:spacing w:beforeLines="0" w:afterLines="0" w:line="560" w:lineRule="exact"/>
        <w:ind w:firstLine="606" w:firstLineChars="200"/>
        <w:rPr>
          <w:rFonts w:hint="default" w:ascii="Times New Roman" w:hAnsi="Times New Roman" w:eastAsia="黑体" w:cs="Times New Roman"/>
          <w:b w:val="0"/>
          <w:bCs w:val="0"/>
          <w:color w:val="000000"/>
          <w:kern w:val="0"/>
          <w:sz w:val="32"/>
          <w:szCs w:val="32"/>
          <w:lang w:bidi="ar"/>
        </w:rPr>
      </w:pPr>
      <w:r>
        <w:rPr>
          <w:rFonts w:hint="default" w:ascii="Times New Roman" w:hAnsi="Times New Roman" w:eastAsia="黑体" w:cs="Times New Roman"/>
          <w:b w:val="0"/>
          <w:bCs w:val="0"/>
          <w:color w:val="000000"/>
          <w:kern w:val="0"/>
          <w:sz w:val="32"/>
          <w:szCs w:val="32"/>
          <w:lang w:bidi="ar"/>
        </w:rPr>
        <w:t>二、</w:t>
      </w:r>
      <w:r>
        <w:rPr>
          <w:rFonts w:hint="default" w:ascii="Times New Roman" w:hAnsi="Times New Roman" w:eastAsia="黑体" w:cs="Times New Roman"/>
          <w:b w:val="0"/>
          <w:bCs w:val="0"/>
          <w:color w:val="000000"/>
          <w:kern w:val="0"/>
          <w:sz w:val="32"/>
          <w:szCs w:val="32"/>
          <w:lang w:eastAsia="zh-CN" w:bidi="ar"/>
        </w:rPr>
        <w:t>项目</w:t>
      </w:r>
      <w:r>
        <w:rPr>
          <w:rFonts w:hint="default" w:ascii="Times New Roman" w:hAnsi="Times New Roman" w:eastAsia="黑体" w:cs="Times New Roman"/>
          <w:b w:val="0"/>
          <w:bCs w:val="0"/>
          <w:color w:val="000000"/>
          <w:kern w:val="0"/>
          <w:sz w:val="32"/>
          <w:szCs w:val="32"/>
          <w:lang w:bidi="ar"/>
        </w:rPr>
        <w:t>绩效指标</w:t>
      </w:r>
      <w:r>
        <w:rPr>
          <w:rFonts w:hint="default" w:ascii="Times New Roman" w:hAnsi="Times New Roman" w:eastAsia="黑体" w:cs="Times New Roman"/>
          <w:b w:val="0"/>
          <w:bCs w:val="0"/>
          <w:color w:val="000000"/>
          <w:kern w:val="0"/>
          <w:sz w:val="32"/>
          <w:szCs w:val="32"/>
          <w:lang w:eastAsia="zh-CN" w:bidi="ar"/>
        </w:rPr>
        <w:t>完成情况</w:t>
      </w:r>
      <w:r>
        <w:rPr>
          <w:rFonts w:hint="default" w:ascii="Times New Roman" w:hAnsi="Times New Roman" w:eastAsia="黑体" w:cs="Times New Roman"/>
          <w:b w:val="0"/>
          <w:bCs w:val="0"/>
          <w:color w:val="000000"/>
          <w:kern w:val="0"/>
          <w:sz w:val="32"/>
          <w:szCs w:val="32"/>
          <w:lang w:bidi="ar"/>
        </w:rPr>
        <w:t xml:space="preserve">分析 </w:t>
      </w:r>
    </w:p>
    <w:p>
      <w:pPr>
        <w:widowControl/>
        <w:numPr>
          <w:ilvl w:val="0"/>
          <w:numId w:val="2"/>
        </w:numPr>
        <w:spacing w:beforeLines="0" w:afterLines="0" w:line="560" w:lineRule="exact"/>
        <w:ind w:firstLine="606" w:firstLineChars="200"/>
        <w:rPr>
          <w:rFonts w:hint="default" w:ascii="Times New Roman" w:hAnsi="Times New Roman" w:eastAsia="楷体_GB2312" w:cs="Times New Roman"/>
          <w:b w:val="0"/>
          <w:bCs w:val="0"/>
          <w:color w:val="000000"/>
          <w:sz w:val="32"/>
          <w:szCs w:val="32"/>
          <w:lang w:bidi="ar"/>
        </w:rPr>
      </w:pPr>
      <w:r>
        <w:rPr>
          <w:rFonts w:hint="default" w:ascii="Times New Roman" w:hAnsi="Times New Roman" w:eastAsia="楷体_GB2312" w:cs="Times New Roman"/>
          <w:b w:val="0"/>
          <w:bCs w:val="0"/>
          <w:color w:val="000000"/>
          <w:kern w:val="0"/>
          <w:sz w:val="32"/>
          <w:szCs w:val="32"/>
          <w:lang w:bidi="ar"/>
        </w:rPr>
        <w:t>投入指标</w:t>
      </w:r>
      <w:r>
        <w:rPr>
          <w:rFonts w:hint="default" w:ascii="Times New Roman" w:hAnsi="Times New Roman" w:eastAsia="楷体_GB2312" w:cs="Times New Roman"/>
          <w:b w:val="0"/>
          <w:bCs w:val="0"/>
          <w:color w:val="000000"/>
          <w:kern w:val="0"/>
          <w:sz w:val="32"/>
          <w:szCs w:val="32"/>
          <w:lang w:eastAsia="zh-CN" w:bidi="ar"/>
        </w:rPr>
        <w:t>完成情况分析。</w:t>
      </w:r>
    </w:p>
    <w:p>
      <w:pPr>
        <w:widowControl/>
        <w:spacing w:beforeLines="0" w:afterLines="0" w:line="560" w:lineRule="exact"/>
        <w:ind w:firstLine="606" w:firstLineChars="200"/>
        <w:rPr>
          <w:rFonts w:hint="default" w:ascii="Times New Roman" w:hAnsi="Times New Roman" w:eastAsia="仿宋_GB2312" w:cs="Times New Roman"/>
          <w:color w:val="000000"/>
          <w:kern w:val="0"/>
          <w:sz w:val="32"/>
          <w:szCs w:val="32"/>
          <w:lang w:eastAsia="zh-CN" w:bidi="ar"/>
        </w:rPr>
      </w:pPr>
      <w:r>
        <w:rPr>
          <w:rFonts w:hint="default" w:ascii="Times New Roman" w:hAnsi="Times New Roman" w:eastAsia="仿宋_GB2312" w:cs="Times New Roman"/>
          <w:b/>
          <w:bCs/>
          <w:color w:val="000000"/>
          <w:sz w:val="32"/>
          <w:szCs w:val="32"/>
          <w:lang w:val="en-US" w:eastAsia="zh-CN" w:bidi="ar"/>
        </w:rPr>
        <w:t>1.</w:t>
      </w:r>
      <w:r>
        <w:rPr>
          <w:rFonts w:hint="default" w:ascii="Times New Roman" w:hAnsi="Times New Roman" w:eastAsia="仿宋_GB2312" w:cs="Times New Roman"/>
          <w:b/>
          <w:bCs/>
          <w:color w:val="000000"/>
          <w:sz w:val="32"/>
          <w:szCs w:val="32"/>
          <w:lang w:bidi="ar"/>
        </w:rPr>
        <w:t>论证决策</w:t>
      </w:r>
      <w:r>
        <w:rPr>
          <w:rFonts w:hint="default" w:ascii="Times New Roman" w:hAnsi="Times New Roman" w:eastAsia="仿宋_GB2312" w:cs="Times New Roman"/>
          <w:b/>
          <w:bCs/>
          <w:color w:val="000000"/>
          <w:sz w:val="32"/>
          <w:szCs w:val="32"/>
          <w:lang w:eastAsia="zh-CN" w:bidi="ar"/>
        </w:rPr>
        <w:t>充分性</w:t>
      </w:r>
      <w:r>
        <w:rPr>
          <w:rFonts w:hint="default" w:ascii="Times New Roman" w:hAnsi="Times New Roman" w:eastAsia="仿宋_GB2312" w:cs="Times New Roman"/>
          <w:color w:val="000000"/>
          <w:sz w:val="32"/>
          <w:szCs w:val="32"/>
          <w:lang w:bidi="ar"/>
        </w:rPr>
        <w:t>。</w:t>
      </w:r>
      <w:r>
        <w:rPr>
          <w:rFonts w:hint="default" w:ascii="Times New Roman" w:hAnsi="Times New Roman" w:eastAsia="仿宋_GB2312" w:cs="Times New Roman"/>
          <w:color w:val="000000"/>
          <w:kern w:val="0"/>
          <w:sz w:val="32"/>
          <w:szCs w:val="32"/>
          <w:lang w:eastAsia="zh-CN" w:bidi="ar"/>
        </w:rPr>
        <w:t>省级十</w:t>
      </w:r>
      <w:r>
        <w:rPr>
          <w:rFonts w:hint="default" w:ascii="Times New Roman" w:hAnsi="Times New Roman" w:eastAsia="仿宋_GB2312" w:cs="Times New Roman"/>
          <w:color w:val="000000"/>
          <w:kern w:val="0"/>
          <w:sz w:val="32"/>
          <w:szCs w:val="32"/>
          <w:lang w:bidi="ar"/>
        </w:rPr>
        <w:t>件民生实事</w:t>
      </w:r>
      <w:r>
        <w:rPr>
          <w:rFonts w:hint="default" w:ascii="Times New Roman" w:hAnsi="Times New Roman" w:eastAsia="仿宋_GB2312" w:cs="Times New Roman"/>
          <w:color w:val="000000"/>
          <w:kern w:val="0"/>
          <w:sz w:val="32"/>
          <w:szCs w:val="32"/>
          <w:lang w:eastAsia="zh-CN" w:bidi="ar"/>
        </w:rPr>
        <w:t>的</w:t>
      </w:r>
      <w:r>
        <w:rPr>
          <w:rFonts w:hint="default" w:ascii="Times New Roman" w:hAnsi="Times New Roman" w:eastAsia="仿宋_GB2312" w:cs="Times New Roman"/>
          <w:color w:val="000000"/>
          <w:kern w:val="0"/>
          <w:sz w:val="32"/>
          <w:szCs w:val="32"/>
          <w:lang w:bidi="ar"/>
        </w:rPr>
        <w:t>加强</w:t>
      </w:r>
      <w:r>
        <w:rPr>
          <w:rFonts w:hint="default" w:ascii="Times New Roman" w:hAnsi="Times New Roman" w:eastAsia="仿宋_GB2312" w:cs="Times New Roman"/>
          <w:color w:val="000000"/>
          <w:kern w:val="0"/>
          <w:sz w:val="32"/>
          <w:szCs w:val="32"/>
          <w:lang w:eastAsia="zh-CN" w:bidi="ar"/>
        </w:rPr>
        <w:t>粤东粤西粤北</w:t>
      </w:r>
      <w:r>
        <w:rPr>
          <w:rFonts w:hint="default" w:ascii="Times New Roman" w:hAnsi="Times New Roman" w:eastAsia="仿宋_GB2312" w:cs="Times New Roman"/>
          <w:color w:val="000000"/>
          <w:kern w:val="0"/>
          <w:sz w:val="32"/>
          <w:szCs w:val="32"/>
          <w:lang w:bidi="ar"/>
        </w:rPr>
        <w:t>基层医疗人才队伍和服务能力建设</w:t>
      </w:r>
      <w:r>
        <w:rPr>
          <w:rFonts w:hint="default" w:ascii="Times New Roman" w:hAnsi="Times New Roman" w:eastAsia="仿宋_GB2312" w:cs="Times New Roman"/>
          <w:color w:val="000000"/>
          <w:kern w:val="0"/>
          <w:sz w:val="32"/>
          <w:szCs w:val="32"/>
          <w:lang w:eastAsia="zh-CN" w:bidi="ar"/>
        </w:rPr>
        <w:t>项目是按照省委省政府</w:t>
      </w:r>
      <w:r>
        <w:rPr>
          <w:rFonts w:hint="default" w:ascii="Times New Roman" w:hAnsi="Times New Roman" w:eastAsia="仿宋_GB2312" w:cs="Times New Roman"/>
          <w:color w:val="000000"/>
          <w:sz w:val="32"/>
          <w:szCs w:val="32"/>
          <w:lang w:bidi="ar"/>
        </w:rPr>
        <w:t>粤办发</w:t>
      </w:r>
      <w:r>
        <w:rPr>
          <w:rFonts w:hint="default" w:ascii="Times New Roman" w:hAnsi="Times New Roman" w:eastAsia="仿宋_GB2312" w:cs="Times New Roman"/>
          <w:color w:val="000000"/>
          <w:kern w:val="0"/>
          <w:sz w:val="32"/>
          <w:szCs w:val="32"/>
          <w:lang w:bidi="ar"/>
        </w:rPr>
        <w:t>〔20</w:t>
      </w:r>
      <w:r>
        <w:rPr>
          <w:rFonts w:hint="default" w:ascii="Times New Roman" w:hAnsi="Times New Roman" w:eastAsia="仿宋_GB2312" w:cs="Times New Roman"/>
          <w:color w:val="000000"/>
          <w:kern w:val="0"/>
          <w:sz w:val="32"/>
          <w:szCs w:val="32"/>
          <w:lang w:val="en-US" w:eastAsia="zh-CN" w:bidi="ar"/>
        </w:rPr>
        <w:t>17</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sz w:val="32"/>
          <w:szCs w:val="32"/>
          <w:lang w:bidi="ar"/>
        </w:rPr>
        <w:t>2号</w:t>
      </w:r>
      <w:r>
        <w:rPr>
          <w:rFonts w:hint="default" w:ascii="Times New Roman" w:hAnsi="Times New Roman" w:eastAsia="仿宋_GB2312" w:cs="Times New Roman"/>
          <w:color w:val="000000"/>
          <w:sz w:val="32"/>
          <w:szCs w:val="32"/>
          <w:lang w:eastAsia="zh-CN" w:bidi="ar"/>
        </w:rPr>
        <w:t>文有关工作部署，经</w:t>
      </w:r>
      <w:r>
        <w:rPr>
          <w:rFonts w:hint="default" w:ascii="Times New Roman" w:hAnsi="Times New Roman" w:eastAsia="仿宋_GB2312" w:cs="Times New Roman"/>
          <w:color w:val="000000"/>
          <w:sz w:val="32"/>
          <w:szCs w:val="32"/>
          <w:lang w:bidi="ar"/>
        </w:rPr>
        <w:t>省财政厅、</w:t>
      </w:r>
      <w:r>
        <w:rPr>
          <w:rFonts w:hint="default" w:ascii="Times New Roman" w:hAnsi="Times New Roman" w:eastAsia="仿宋_GB2312" w:cs="Times New Roman"/>
          <w:color w:val="000000"/>
          <w:sz w:val="32"/>
          <w:szCs w:val="32"/>
          <w:lang w:eastAsia="zh-CN" w:bidi="ar"/>
        </w:rPr>
        <w:t>原</w:t>
      </w:r>
      <w:r>
        <w:rPr>
          <w:rFonts w:hint="default" w:ascii="Times New Roman" w:hAnsi="Times New Roman" w:eastAsia="仿宋_GB2312" w:cs="Times New Roman"/>
          <w:color w:val="000000"/>
          <w:sz w:val="32"/>
          <w:szCs w:val="32"/>
          <w:lang w:bidi="ar"/>
        </w:rPr>
        <w:t>省卫</w:t>
      </w:r>
      <w:r>
        <w:rPr>
          <w:rFonts w:hint="default" w:ascii="Times New Roman" w:hAnsi="Times New Roman" w:eastAsia="仿宋_GB2312" w:cs="Times New Roman"/>
          <w:color w:val="000000"/>
          <w:sz w:val="32"/>
          <w:szCs w:val="32"/>
          <w:lang w:eastAsia="zh-CN" w:bidi="ar"/>
        </w:rPr>
        <w:t>生</w:t>
      </w:r>
      <w:r>
        <w:rPr>
          <w:rFonts w:hint="default" w:ascii="Times New Roman" w:hAnsi="Times New Roman" w:eastAsia="仿宋_GB2312" w:cs="Times New Roman"/>
          <w:color w:val="000000"/>
          <w:sz w:val="32"/>
          <w:szCs w:val="32"/>
          <w:lang w:bidi="ar"/>
        </w:rPr>
        <w:t>计</w:t>
      </w:r>
      <w:r>
        <w:rPr>
          <w:rFonts w:hint="default" w:ascii="Times New Roman" w:hAnsi="Times New Roman" w:eastAsia="仿宋_GB2312" w:cs="Times New Roman"/>
          <w:color w:val="000000"/>
          <w:sz w:val="32"/>
          <w:szCs w:val="32"/>
          <w:lang w:eastAsia="zh-CN" w:bidi="ar"/>
        </w:rPr>
        <w:t>生</w:t>
      </w:r>
      <w:r>
        <w:rPr>
          <w:rFonts w:hint="default" w:ascii="Times New Roman" w:hAnsi="Times New Roman" w:eastAsia="仿宋_GB2312" w:cs="Times New Roman"/>
          <w:color w:val="000000"/>
          <w:sz w:val="32"/>
          <w:szCs w:val="32"/>
          <w:lang w:bidi="ar"/>
        </w:rPr>
        <w:t>委</w:t>
      </w:r>
      <w:r>
        <w:rPr>
          <w:rFonts w:hint="default" w:ascii="Times New Roman" w:hAnsi="Times New Roman" w:eastAsia="仿宋_GB2312" w:cs="Times New Roman"/>
          <w:color w:val="000000"/>
          <w:sz w:val="32"/>
          <w:szCs w:val="32"/>
          <w:lang w:eastAsia="zh-CN" w:bidi="ar"/>
        </w:rPr>
        <w:t>等</w:t>
      </w:r>
      <w:r>
        <w:rPr>
          <w:rFonts w:hint="default" w:ascii="Times New Roman" w:hAnsi="Times New Roman" w:eastAsia="仿宋_GB2312" w:cs="Times New Roman"/>
          <w:color w:val="000000"/>
          <w:sz w:val="32"/>
          <w:szCs w:val="32"/>
          <w:lang w:bidi="ar"/>
        </w:rPr>
        <w:t>对我省尤其是</w:t>
      </w:r>
      <w:r>
        <w:rPr>
          <w:rFonts w:hint="default" w:ascii="Times New Roman" w:hAnsi="Times New Roman" w:eastAsia="仿宋_GB2312" w:cs="Times New Roman"/>
          <w:color w:val="000000"/>
          <w:sz w:val="32"/>
          <w:szCs w:val="32"/>
          <w:lang w:eastAsia="zh-CN" w:bidi="ar"/>
        </w:rPr>
        <w:t>粤东粤西粤北</w:t>
      </w:r>
      <w:r>
        <w:rPr>
          <w:rFonts w:hint="default" w:ascii="Times New Roman" w:hAnsi="Times New Roman" w:eastAsia="仿宋_GB2312" w:cs="Times New Roman"/>
          <w:color w:val="000000"/>
          <w:sz w:val="32"/>
          <w:szCs w:val="32"/>
          <w:lang w:bidi="ar"/>
        </w:rPr>
        <w:t>地区县级以下医疗卫生机构的现状、短板及存在问题进行了充分摸底调研</w:t>
      </w:r>
      <w:r>
        <w:rPr>
          <w:rFonts w:hint="default" w:ascii="Times New Roman" w:hAnsi="Times New Roman" w:eastAsia="仿宋_GB2312" w:cs="Times New Roman"/>
          <w:color w:val="000000"/>
          <w:sz w:val="32"/>
          <w:szCs w:val="32"/>
          <w:lang w:eastAsia="zh-CN" w:bidi="ar"/>
        </w:rPr>
        <w:t>和组织专家论证，</w:t>
      </w:r>
      <w:r>
        <w:rPr>
          <w:rFonts w:hint="default" w:ascii="Times New Roman" w:hAnsi="Times New Roman" w:eastAsia="仿宋_GB2312" w:cs="Times New Roman"/>
          <w:color w:val="000000"/>
          <w:sz w:val="32"/>
          <w:szCs w:val="32"/>
          <w:lang w:bidi="ar"/>
        </w:rPr>
        <w:t>制定</w:t>
      </w:r>
      <w:r>
        <w:rPr>
          <w:rFonts w:hint="default" w:ascii="Times New Roman" w:hAnsi="Times New Roman" w:eastAsia="仿宋_GB2312" w:cs="Times New Roman"/>
          <w:color w:val="000000"/>
          <w:sz w:val="32"/>
          <w:szCs w:val="32"/>
          <w:lang w:eastAsia="zh-CN" w:bidi="ar"/>
        </w:rPr>
        <w:t>了</w:t>
      </w:r>
      <w:r>
        <w:rPr>
          <w:rFonts w:hint="default" w:ascii="Times New Roman" w:hAnsi="Times New Roman" w:eastAsia="仿宋_GB2312" w:cs="Times New Roman"/>
          <w:color w:val="000000"/>
          <w:sz w:val="32"/>
          <w:szCs w:val="32"/>
          <w:lang w:bidi="ar"/>
        </w:rPr>
        <w:t>实施方案，项目的设立经过充分研究和论证，摸底调查资料及请示报告资料齐全，且经过集体会议研究，决策规范科学，投入符合民生政策</w:t>
      </w:r>
      <w:r>
        <w:rPr>
          <w:rFonts w:hint="default"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bidi="ar"/>
        </w:rPr>
        <w:t>主要评价论证充分性。</w:t>
      </w:r>
      <w:r>
        <w:rPr>
          <w:rFonts w:hint="default" w:ascii="Times New Roman" w:hAnsi="Times New Roman" w:eastAsia="仿宋_GB2312" w:cs="Times New Roman"/>
          <w:color w:val="000000"/>
          <w:sz w:val="32"/>
          <w:szCs w:val="32"/>
          <w:lang w:eastAsia="zh-CN" w:bidi="ar"/>
        </w:rPr>
        <w:t>该项</w:t>
      </w:r>
      <w:r>
        <w:rPr>
          <w:rFonts w:hint="default" w:ascii="Times New Roman" w:hAnsi="Times New Roman" w:eastAsia="仿宋_GB2312" w:cs="Times New Roman"/>
          <w:color w:val="000000"/>
          <w:kern w:val="0"/>
          <w:sz w:val="32"/>
          <w:szCs w:val="32"/>
          <w:lang w:bidi="ar"/>
        </w:rPr>
        <w:t>指标分值4分，自评得分4分，得分率100%</w:t>
      </w:r>
      <w:r>
        <w:rPr>
          <w:rFonts w:hint="default" w:ascii="Times New Roman" w:hAnsi="Times New Roman" w:eastAsia="仿宋_GB2312" w:cs="Times New Roman"/>
          <w:color w:val="000000"/>
          <w:kern w:val="0"/>
          <w:sz w:val="32"/>
          <w:szCs w:val="32"/>
          <w:lang w:eastAsia="zh-CN" w:bidi="ar"/>
        </w:rPr>
        <w:t>。</w:t>
      </w:r>
    </w:p>
    <w:p>
      <w:pPr>
        <w:widowControl/>
        <w:spacing w:beforeLines="0" w:afterLines="0" w:line="560" w:lineRule="exact"/>
        <w:ind w:firstLine="606" w:firstLineChars="20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sz w:val="32"/>
          <w:szCs w:val="32"/>
          <w:lang w:val="en-US" w:eastAsia="zh-CN" w:bidi="ar"/>
        </w:rPr>
        <w:t>2.</w:t>
      </w:r>
      <w:r>
        <w:rPr>
          <w:rFonts w:hint="default" w:ascii="Times New Roman" w:hAnsi="Times New Roman" w:eastAsia="仿宋_GB2312" w:cs="Times New Roman"/>
          <w:b/>
          <w:bCs/>
          <w:color w:val="000000"/>
          <w:sz w:val="32"/>
          <w:szCs w:val="32"/>
          <w:lang w:bidi="ar"/>
        </w:rPr>
        <w:t>目标设置</w:t>
      </w:r>
      <w:r>
        <w:rPr>
          <w:rFonts w:hint="default" w:ascii="Times New Roman" w:hAnsi="Times New Roman" w:eastAsia="仿宋_GB2312" w:cs="Times New Roman"/>
          <w:b/>
          <w:bCs/>
          <w:color w:val="000000"/>
          <w:sz w:val="32"/>
          <w:szCs w:val="32"/>
          <w:lang w:eastAsia="zh-CN" w:bidi="ar"/>
        </w:rPr>
        <w:t>的完整性</w:t>
      </w:r>
      <w:r>
        <w:rPr>
          <w:rFonts w:hint="default" w:ascii="Times New Roman" w:hAnsi="Times New Roman" w:eastAsia="仿宋_GB2312" w:cs="Times New Roman"/>
          <w:b/>
          <w:bCs/>
          <w:color w:val="000000"/>
          <w:sz w:val="32"/>
          <w:szCs w:val="32"/>
          <w:lang w:bidi="ar"/>
        </w:rPr>
        <w:t>。</w:t>
      </w:r>
      <w:r>
        <w:rPr>
          <w:rFonts w:hint="default" w:ascii="Times New Roman" w:hAnsi="Times New Roman" w:eastAsia="仿宋_GB2312" w:cs="Times New Roman"/>
          <w:color w:val="000000"/>
          <w:kern w:val="0"/>
          <w:sz w:val="32"/>
          <w:szCs w:val="32"/>
          <w:lang w:eastAsia="zh-CN" w:bidi="ar"/>
        </w:rPr>
        <w:t>我委针对该项目</w:t>
      </w:r>
      <w:r>
        <w:rPr>
          <w:rFonts w:hint="default" w:ascii="Times New Roman" w:hAnsi="Times New Roman" w:eastAsia="仿宋_GB2312" w:cs="Times New Roman"/>
          <w:color w:val="000000"/>
          <w:kern w:val="0"/>
          <w:sz w:val="32"/>
          <w:szCs w:val="32"/>
          <w:lang w:bidi="ar"/>
        </w:rPr>
        <w:t>专项资金制定了总目标、具体目标和绩效指标值</w:t>
      </w:r>
      <w:r>
        <w:rPr>
          <w:rFonts w:hint="default" w:ascii="Times New Roman" w:hAnsi="Times New Roman" w:eastAsia="仿宋_GB2312" w:cs="Times New Roman"/>
          <w:color w:val="000000"/>
          <w:kern w:val="0"/>
          <w:sz w:val="32"/>
          <w:szCs w:val="32"/>
          <w:lang w:eastAsia="zh-CN" w:bidi="ar"/>
        </w:rPr>
        <w:t>（具体见</w:t>
      </w:r>
      <w:r>
        <w:rPr>
          <w:rFonts w:hint="default" w:ascii="Times New Roman" w:hAnsi="Times New Roman" w:eastAsia="仿宋_GB2312" w:cs="Times New Roman"/>
          <w:color w:val="000000"/>
          <w:kern w:val="0"/>
          <w:sz w:val="32"/>
          <w:szCs w:val="32"/>
          <w:lang w:bidi="ar"/>
        </w:rPr>
        <w:t>粤财社〔2019〕42号）</w:t>
      </w:r>
      <w:r>
        <w:rPr>
          <w:rFonts w:hint="default" w:ascii="Times New Roman" w:hAnsi="Times New Roman" w:eastAsia="仿宋_GB2312" w:cs="Times New Roman"/>
          <w:color w:val="000000"/>
          <w:kern w:val="0"/>
          <w:sz w:val="32"/>
          <w:szCs w:val="32"/>
          <w:lang w:eastAsia="zh-CN" w:bidi="ar"/>
        </w:rPr>
        <w:t>文）</w:t>
      </w:r>
      <w:r>
        <w:rPr>
          <w:rFonts w:hint="default" w:ascii="Times New Roman" w:hAnsi="Times New Roman" w:eastAsia="仿宋_GB2312" w:cs="Times New Roman"/>
          <w:color w:val="000000"/>
          <w:kern w:val="0"/>
          <w:sz w:val="32"/>
          <w:szCs w:val="32"/>
          <w:lang w:bidi="ar"/>
        </w:rPr>
        <w:t>，设置的目标基本明确、合理，设置的大部分绩效指标可衡量，与民生实事的属性特点、实施内容正相关。但部分项目绩效指标的完整性有待提高：没有设置基层医疗机构服务对象满意度指标等。指标分值6分，自评得分5.1分，得分率85%。</w:t>
      </w:r>
    </w:p>
    <w:p>
      <w:pPr>
        <w:widowControl/>
        <w:spacing w:beforeLines="0" w:afterLines="0" w:line="560" w:lineRule="exact"/>
        <w:ind w:firstLine="606" w:firstLineChars="200"/>
        <w:rPr>
          <w:rFonts w:hint="default" w:ascii="Times New Roman" w:hAnsi="Times New Roman" w:eastAsia="仿宋_GB2312" w:cs="Times New Roman"/>
          <w:color w:val="000000"/>
          <w:kern w:val="0"/>
          <w:sz w:val="32"/>
          <w:szCs w:val="32"/>
          <w:lang w:eastAsia="zh-CN" w:bidi="ar"/>
        </w:rPr>
      </w:pPr>
      <w:r>
        <w:rPr>
          <w:rFonts w:hint="default" w:ascii="Times New Roman" w:hAnsi="Times New Roman" w:eastAsia="仿宋_GB2312" w:cs="Times New Roman"/>
          <w:b/>
          <w:bCs/>
          <w:color w:val="000000"/>
          <w:kern w:val="0"/>
          <w:sz w:val="32"/>
          <w:szCs w:val="32"/>
          <w:lang w:val="en-US" w:eastAsia="zh-CN" w:bidi="ar"/>
        </w:rPr>
        <w:t>3.</w:t>
      </w:r>
      <w:r>
        <w:rPr>
          <w:rFonts w:hint="default" w:ascii="Times New Roman" w:hAnsi="Times New Roman" w:eastAsia="仿宋_GB2312" w:cs="Times New Roman"/>
          <w:b/>
          <w:bCs/>
          <w:color w:val="000000"/>
          <w:kern w:val="0"/>
          <w:sz w:val="32"/>
          <w:szCs w:val="32"/>
          <w:lang w:bidi="ar"/>
        </w:rPr>
        <w:t>保障措施</w:t>
      </w:r>
      <w:r>
        <w:rPr>
          <w:rFonts w:hint="default" w:ascii="Times New Roman" w:hAnsi="Times New Roman" w:eastAsia="仿宋_GB2312" w:cs="Times New Roman"/>
          <w:b/>
          <w:bCs/>
          <w:color w:val="000000"/>
          <w:kern w:val="0"/>
          <w:sz w:val="32"/>
          <w:szCs w:val="32"/>
          <w:lang w:eastAsia="zh-CN" w:bidi="ar"/>
        </w:rPr>
        <w:t>指标完成情况</w:t>
      </w:r>
      <w:r>
        <w:rPr>
          <w:rFonts w:hint="default" w:ascii="Times New Roman" w:hAnsi="Times New Roman" w:eastAsia="仿宋_GB2312" w:cs="Times New Roman"/>
          <w:b/>
          <w:bCs/>
          <w:color w:val="000000"/>
          <w:kern w:val="0"/>
          <w:sz w:val="32"/>
          <w:szCs w:val="32"/>
          <w:lang w:bidi="ar"/>
        </w:rPr>
        <w:t>。</w:t>
      </w:r>
      <w:r>
        <w:rPr>
          <w:rFonts w:hint="default" w:ascii="Times New Roman" w:hAnsi="Times New Roman" w:eastAsia="仿宋_GB2312" w:cs="Times New Roman"/>
          <w:color w:val="000000"/>
          <w:sz w:val="32"/>
          <w:szCs w:val="32"/>
          <w:lang w:eastAsia="zh-CN" w:bidi="ar"/>
        </w:rPr>
        <w:t>此</w:t>
      </w:r>
      <w:r>
        <w:rPr>
          <w:rFonts w:hint="default" w:ascii="Times New Roman" w:hAnsi="Times New Roman" w:eastAsia="仿宋_GB2312" w:cs="Times New Roman"/>
          <w:color w:val="000000"/>
          <w:sz w:val="32"/>
          <w:szCs w:val="32"/>
          <w:lang w:bidi="ar"/>
        </w:rPr>
        <w:t>指标</w:t>
      </w:r>
      <w:r>
        <w:rPr>
          <w:rFonts w:hint="default" w:ascii="Times New Roman" w:hAnsi="Times New Roman" w:eastAsia="仿宋_GB2312" w:cs="Times New Roman"/>
          <w:color w:val="000000"/>
          <w:sz w:val="32"/>
          <w:szCs w:val="32"/>
          <w:lang w:eastAsia="zh-CN" w:bidi="ar"/>
        </w:rPr>
        <w:t>各项</w:t>
      </w:r>
      <w:r>
        <w:rPr>
          <w:rFonts w:hint="default" w:ascii="Times New Roman" w:hAnsi="Times New Roman" w:eastAsia="仿宋_GB2312" w:cs="Times New Roman"/>
          <w:color w:val="000000"/>
          <w:sz w:val="32"/>
          <w:szCs w:val="32"/>
          <w:lang w:bidi="ar"/>
        </w:rPr>
        <w:t>制度</w:t>
      </w:r>
      <w:r>
        <w:rPr>
          <w:rFonts w:hint="default" w:ascii="Times New Roman" w:hAnsi="Times New Roman" w:eastAsia="仿宋_GB2312" w:cs="Times New Roman"/>
          <w:color w:val="000000"/>
          <w:sz w:val="32"/>
          <w:szCs w:val="32"/>
          <w:lang w:eastAsia="zh-CN" w:bidi="ar"/>
        </w:rPr>
        <w:t>建设比较健全、</w:t>
      </w:r>
      <w:r>
        <w:rPr>
          <w:rFonts w:hint="default" w:ascii="Times New Roman" w:hAnsi="Times New Roman" w:eastAsia="仿宋_GB2312" w:cs="Times New Roman"/>
          <w:color w:val="000000"/>
          <w:sz w:val="32"/>
          <w:szCs w:val="32"/>
          <w:lang w:bidi="ar"/>
        </w:rPr>
        <w:t>完整</w:t>
      </w:r>
      <w:r>
        <w:rPr>
          <w:rFonts w:hint="default" w:ascii="Times New Roman" w:hAnsi="Times New Roman" w:eastAsia="仿宋_GB2312" w:cs="Times New Roman"/>
          <w:color w:val="000000"/>
          <w:sz w:val="32"/>
          <w:szCs w:val="32"/>
          <w:lang w:eastAsia="zh-CN" w:bidi="ar"/>
        </w:rPr>
        <w:t>，项目实施</w:t>
      </w:r>
      <w:r>
        <w:rPr>
          <w:rFonts w:hint="default" w:ascii="Times New Roman" w:hAnsi="Times New Roman" w:eastAsia="仿宋_GB2312" w:cs="Times New Roman"/>
          <w:color w:val="000000"/>
          <w:sz w:val="32"/>
          <w:szCs w:val="32"/>
          <w:lang w:bidi="ar"/>
        </w:rPr>
        <w:t>计划安排合理。</w:t>
      </w:r>
      <w:r>
        <w:rPr>
          <w:rFonts w:hint="default" w:ascii="Times New Roman" w:hAnsi="Times New Roman" w:eastAsia="仿宋_GB2312" w:cs="Times New Roman"/>
          <w:color w:val="000000"/>
          <w:kern w:val="0"/>
          <w:sz w:val="32"/>
          <w:szCs w:val="32"/>
          <w:lang w:bidi="ar"/>
        </w:rPr>
        <w:t>指标分值2分，自评得分2分，得分率100%。</w:t>
      </w:r>
      <w:r>
        <w:rPr>
          <w:rFonts w:hint="default" w:ascii="Times New Roman" w:hAnsi="Times New Roman" w:eastAsia="仿宋_GB2312" w:cs="Times New Roman"/>
          <w:color w:val="000000"/>
          <w:kern w:val="0"/>
          <w:sz w:val="32"/>
          <w:szCs w:val="32"/>
          <w:lang w:eastAsia="zh-CN" w:bidi="ar"/>
        </w:rPr>
        <w:t>具体情况如下：</w:t>
      </w:r>
    </w:p>
    <w:p>
      <w:pPr>
        <w:widowControl/>
        <w:spacing w:beforeLines="0" w:afterLines="0" w:line="560" w:lineRule="exact"/>
        <w:ind w:firstLine="606" w:firstLineChars="200"/>
        <w:jc w:val="both"/>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b/>
          <w:bCs/>
          <w:color w:val="000000"/>
          <w:sz w:val="32"/>
          <w:szCs w:val="32"/>
          <w:lang w:bidi="ar"/>
        </w:rPr>
        <w:t>健全</w:t>
      </w:r>
      <w:r>
        <w:rPr>
          <w:rFonts w:hint="default" w:ascii="Times New Roman" w:hAnsi="Times New Roman" w:eastAsia="仿宋_GB2312" w:cs="Times New Roman"/>
          <w:b/>
          <w:bCs/>
          <w:color w:val="000000"/>
          <w:sz w:val="32"/>
          <w:szCs w:val="32"/>
          <w:lang w:eastAsia="zh-CN" w:bidi="ar"/>
        </w:rPr>
        <w:t>和完善</w:t>
      </w:r>
      <w:r>
        <w:rPr>
          <w:rFonts w:hint="default" w:ascii="Times New Roman" w:hAnsi="Times New Roman" w:eastAsia="仿宋_GB2312" w:cs="Times New Roman"/>
          <w:b/>
          <w:bCs/>
          <w:color w:val="000000"/>
          <w:sz w:val="32"/>
          <w:szCs w:val="32"/>
          <w:lang w:bidi="ar"/>
        </w:rPr>
        <w:t>制度</w:t>
      </w:r>
      <w:r>
        <w:rPr>
          <w:rFonts w:hint="default" w:ascii="Times New Roman" w:hAnsi="Times New Roman" w:eastAsia="仿宋_GB2312" w:cs="Times New Roman"/>
          <w:b/>
          <w:bCs/>
          <w:color w:val="000000"/>
          <w:sz w:val="32"/>
          <w:szCs w:val="32"/>
          <w:lang w:eastAsia="zh-CN" w:bidi="ar"/>
        </w:rPr>
        <w:t>情况</w:t>
      </w:r>
      <w:r>
        <w:rPr>
          <w:rFonts w:hint="default" w:ascii="Times New Roman" w:hAnsi="Times New Roman" w:eastAsia="仿宋_GB2312" w:cs="Times New Roman"/>
          <w:b/>
          <w:bCs/>
          <w:color w:val="000000"/>
          <w:sz w:val="32"/>
          <w:szCs w:val="32"/>
          <w:lang w:bidi="ar"/>
        </w:rPr>
        <w:t>。</w:t>
      </w:r>
      <w:r>
        <w:rPr>
          <w:rFonts w:hint="default" w:ascii="Times New Roman" w:hAnsi="Times New Roman" w:eastAsia="仿宋_GB2312" w:cs="Times New Roman"/>
          <w:color w:val="000000"/>
          <w:sz w:val="32"/>
          <w:szCs w:val="32"/>
          <w:lang w:eastAsia="zh-CN" w:bidi="ar"/>
        </w:rPr>
        <w:t>先后印发了</w:t>
      </w:r>
      <w:r>
        <w:rPr>
          <w:rFonts w:hint="default" w:ascii="Times New Roman" w:hAnsi="Times New Roman" w:eastAsia="仿宋_GB2312" w:cs="Times New Roman"/>
          <w:color w:val="000000"/>
          <w:sz w:val="32"/>
          <w:szCs w:val="32"/>
          <w:lang w:bidi="ar"/>
        </w:rPr>
        <w:t>《中共广东省委办公厅 广东省人民政府办公厅印发《关于加强基层医疗卫生服务能力建设的意见》的通知》（粤办发</w:t>
      </w:r>
      <w:r>
        <w:rPr>
          <w:rFonts w:hint="default" w:ascii="Times New Roman" w:hAnsi="Times New Roman" w:eastAsia="仿宋_GB2312" w:cs="Times New Roman"/>
          <w:color w:val="000000"/>
          <w:kern w:val="0"/>
          <w:sz w:val="32"/>
          <w:szCs w:val="32"/>
          <w:lang w:bidi="ar"/>
        </w:rPr>
        <w:t>〔20</w:t>
      </w:r>
      <w:r>
        <w:rPr>
          <w:rFonts w:hint="default" w:ascii="Times New Roman" w:hAnsi="Times New Roman" w:eastAsia="仿宋_GB2312" w:cs="Times New Roman"/>
          <w:color w:val="000000"/>
          <w:kern w:val="0"/>
          <w:sz w:val="32"/>
          <w:szCs w:val="32"/>
          <w:lang w:val="en-US" w:eastAsia="zh-CN" w:bidi="ar"/>
        </w:rPr>
        <w:t>17</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sz w:val="32"/>
          <w:szCs w:val="32"/>
          <w:lang w:bidi="ar"/>
        </w:rPr>
        <w:t>2号）、</w:t>
      </w:r>
      <w:r>
        <w:rPr>
          <w:rFonts w:hint="default" w:ascii="Times New Roman" w:hAnsi="Times New Roman" w:eastAsia="仿宋_GB2312" w:cs="Times New Roman"/>
          <w:color w:val="000000"/>
          <w:kern w:val="0"/>
          <w:sz w:val="32"/>
          <w:szCs w:val="32"/>
          <w:lang w:bidi="ar"/>
        </w:rPr>
        <w:t>《关于印发财政支持加强基层医疗卫生服务能力建设的实施方案的通知》（粤财社〔20</w:t>
      </w:r>
      <w:r>
        <w:rPr>
          <w:rFonts w:hint="default" w:ascii="Times New Roman" w:hAnsi="Times New Roman" w:eastAsia="仿宋_GB2312" w:cs="Times New Roman"/>
          <w:color w:val="000000"/>
          <w:kern w:val="0"/>
          <w:sz w:val="32"/>
          <w:szCs w:val="32"/>
          <w:lang w:val="en-US" w:eastAsia="zh-CN" w:bidi="ar"/>
        </w:rPr>
        <w:t>17</w:t>
      </w:r>
      <w:r>
        <w:rPr>
          <w:rFonts w:hint="default" w:ascii="Times New Roman" w:hAnsi="Times New Roman" w:eastAsia="仿宋_GB2312" w:cs="Times New Roman"/>
          <w:color w:val="000000"/>
          <w:kern w:val="0"/>
          <w:sz w:val="32"/>
          <w:szCs w:val="32"/>
          <w:lang w:bidi="ar"/>
        </w:rPr>
        <w:t>〕33号）、</w:t>
      </w:r>
      <w:r>
        <w:rPr>
          <w:rFonts w:hint="default" w:ascii="Times New Roman" w:hAnsi="Times New Roman" w:eastAsia="仿宋_GB2312" w:cs="Times New Roman"/>
          <w:color w:val="000000"/>
          <w:sz w:val="32"/>
          <w:szCs w:val="32"/>
        </w:rPr>
        <w:t>《广东省卫生计生委关于印发广东省全科医生和产科、儿科医生培训项目实施方案的通知》（粤卫〔2017〕33号）、</w:t>
      </w:r>
      <w:r>
        <w:rPr>
          <w:rFonts w:hint="default" w:ascii="Times New Roman" w:hAnsi="Times New Roman" w:eastAsia="仿宋_GB2312" w:cs="Times New Roman"/>
          <w:color w:val="000000"/>
          <w:kern w:val="0"/>
          <w:sz w:val="32"/>
          <w:szCs w:val="32"/>
        </w:rPr>
        <w:t>《广东省卫生计生委 广东省财政厅 广东省人力资源社会保障厅关于印发广东省基层医疗卫生机构全科医生特设岗位工作实施方案的通知》（粤卫函〔2017〕1572号）、《广东省卫生计生委办公室关于印发广东省远程医疗平台项目试点实施方案的通知》（粤卫办函〔2018〕240号）、</w:t>
      </w:r>
      <w:r>
        <w:rPr>
          <w:rFonts w:hint="default" w:ascii="Times New Roman" w:hAnsi="Times New Roman" w:eastAsia="仿宋_GB2312" w:cs="Times New Roman"/>
          <w:color w:val="000000"/>
          <w:sz w:val="32"/>
          <w:szCs w:val="32"/>
        </w:rPr>
        <w:t>《广东省贫困村配置智能健康监测设备包项目工作方案》（粤卫办函〔2019〕216号）、</w:t>
      </w:r>
      <w:r>
        <w:rPr>
          <w:rFonts w:hint="default" w:ascii="Times New Roman" w:hAnsi="Times New Roman" w:eastAsia="仿宋_GB2312" w:cs="Times New Roman"/>
          <w:color w:val="000000"/>
          <w:kern w:val="0"/>
          <w:sz w:val="32"/>
          <w:szCs w:val="32"/>
          <w:lang w:bidi="ar"/>
        </w:rPr>
        <w:t>《广东省住院医师规范化培训实施办法》（粤卫〔20</w:t>
      </w:r>
      <w:r>
        <w:rPr>
          <w:rFonts w:hint="default" w:ascii="Times New Roman" w:hAnsi="Times New Roman" w:eastAsia="仿宋_GB2312" w:cs="Times New Roman"/>
          <w:color w:val="000000"/>
          <w:kern w:val="0"/>
          <w:sz w:val="32"/>
          <w:szCs w:val="32"/>
          <w:lang w:val="en-US" w:eastAsia="zh-CN" w:bidi="ar"/>
        </w:rPr>
        <w:t>15</w:t>
      </w:r>
      <w:r>
        <w:rPr>
          <w:rFonts w:hint="default" w:ascii="Times New Roman" w:hAnsi="Times New Roman" w:eastAsia="仿宋_GB2312" w:cs="Times New Roman"/>
          <w:color w:val="000000"/>
          <w:kern w:val="0"/>
          <w:sz w:val="32"/>
          <w:szCs w:val="32"/>
          <w:lang w:bidi="ar"/>
        </w:rPr>
        <w:t>〕86号）、</w:t>
      </w:r>
      <w:r>
        <w:rPr>
          <w:rFonts w:hint="default" w:ascii="Times New Roman" w:hAnsi="Times New Roman" w:eastAsia="仿宋_GB2312" w:cs="Times New Roman"/>
          <w:color w:val="000000"/>
          <w:sz w:val="32"/>
          <w:szCs w:val="32"/>
        </w:rPr>
        <w:t>《广东省卫生计生委办公室关于印发广东省2018-2020年家庭医生服务团队培训方案的通知》（粤卫办函〔2017〕523号）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kern w:val="0"/>
          <w:sz w:val="32"/>
          <w:szCs w:val="32"/>
          <w:lang w:bidi="ar"/>
        </w:rPr>
        <w:t>《广东省卫生健康委关于落实2019年省民生实事任务加强全科医生和产科儿科医师培训工作的通知》（粤卫办函〔20</w:t>
      </w:r>
      <w:r>
        <w:rPr>
          <w:rFonts w:hint="default" w:ascii="Times New Roman" w:hAnsi="Times New Roman" w:eastAsia="仿宋_GB2312" w:cs="Times New Roman"/>
          <w:color w:val="000000"/>
          <w:kern w:val="0"/>
          <w:sz w:val="32"/>
          <w:szCs w:val="32"/>
          <w:lang w:val="en-US" w:eastAsia="zh-CN" w:bidi="ar"/>
        </w:rPr>
        <w:t>19</w:t>
      </w:r>
      <w:r>
        <w:rPr>
          <w:rFonts w:hint="default" w:ascii="Times New Roman" w:hAnsi="Times New Roman" w:eastAsia="仿宋_GB2312" w:cs="Times New Roman"/>
          <w:color w:val="000000"/>
          <w:kern w:val="0"/>
          <w:sz w:val="32"/>
          <w:szCs w:val="32"/>
          <w:lang w:bidi="ar"/>
        </w:rPr>
        <w:t>〕120号）、《广东省卫生健康委等四部门关于做好2019年订单定向培养农村卫生人才工作的通知》（粤卫函〔20</w:t>
      </w:r>
      <w:r>
        <w:rPr>
          <w:rFonts w:hint="default" w:ascii="Times New Roman" w:hAnsi="Times New Roman" w:eastAsia="仿宋_GB2312" w:cs="Times New Roman"/>
          <w:color w:val="000000"/>
          <w:kern w:val="0"/>
          <w:sz w:val="32"/>
          <w:szCs w:val="32"/>
          <w:lang w:val="en-US" w:eastAsia="zh-CN" w:bidi="ar"/>
        </w:rPr>
        <w:t>19</w:t>
      </w:r>
      <w:r>
        <w:rPr>
          <w:rFonts w:hint="default" w:ascii="Times New Roman" w:hAnsi="Times New Roman" w:eastAsia="仿宋_GB2312" w:cs="Times New Roman"/>
          <w:color w:val="000000"/>
          <w:kern w:val="0"/>
          <w:sz w:val="32"/>
          <w:szCs w:val="32"/>
          <w:lang w:bidi="ar"/>
        </w:rPr>
        <w:t>〕750号）、</w:t>
      </w:r>
      <w:r>
        <w:rPr>
          <w:rFonts w:hint="default" w:ascii="Times New Roman" w:hAnsi="Times New Roman" w:eastAsia="仿宋_GB2312" w:cs="Times New Roman"/>
          <w:color w:val="000000"/>
          <w:kern w:val="0"/>
          <w:sz w:val="32"/>
          <w:szCs w:val="32"/>
        </w:rPr>
        <w:t>《关于修订省级卫生计生事业发展专项资金管理办法的通知》（粤财社〔2017〕76号）、《</w:t>
      </w:r>
      <w:r>
        <w:rPr>
          <w:rFonts w:hint="default" w:ascii="Times New Roman" w:hAnsi="Times New Roman" w:eastAsia="仿宋_GB2312" w:cs="Times New Roman"/>
          <w:color w:val="000000"/>
          <w:kern w:val="0"/>
          <w:sz w:val="32"/>
          <w:szCs w:val="32"/>
          <w:lang w:bidi="ar"/>
        </w:rPr>
        <w:t>《广东省人民政府关于印发广东省省级财政专项资金管理办法（试行）的通知》（粤府 〔2018〕120 号）</w:t>
      </w:r>
      <w:r>
        <w:rPr>
          <w:rFonts w:hint="default" w:ascii="Times New Roman" w:hAnsi="Times New Roman" w:eastAsia="仿宋_GB2312" w:cs="Times New Roman"/>
          <w:color w:val="000000"/>
          <w:kern w:val="0"/>
          <w:sz w:val="32"/>
          <w:szCs w:val="32"/>
        </w:rPr>
        <w:t>、《广东省审计厅 广东省卫生计生委关于进一步加强我省基层医疗卫生服务建设能力建设项目管理和审计监督的通知》、</w:t>
      </w:r>
      <w:r>
        <w:rPr>
          <w:rFonts w:hint="default" w:ascii="Times New Roman" w:hAnsi="Times New Roman" w:eastAsia="仿宋_GB2312" w:cs="Times New Roman"/>
          <w:color w:val="000000"/>
          <w:sz w:val="32"/>
          <w:szCs w:val="32"/>
          <w:lang w:bidi="ar"/>
        </w:rPr>
        <w:t>广东省卫生计生委办公室关于印发《广东省卫生计生委加强基层医疗卫生服务能力建设项目廉政效能监督管理办法的通知》（粤卫办</w:t>
      </w:r>
      <w:r>
        <w:rPr>
          <w:rFonts w:hint="default" w:ascii="Times New Roman" w:hAnsi="Times New Roman" w:eastAsia="仿宋_GB2312" w:cs="Times New Roman"/>
          <w:color w:val="000000"/>
          <w:kern w:val="0"/>
          <w:sz w:val="32"/>
          <w:szCs w:val="32"/>
          <w:lang w:bidi="ar"/>
        </w:rPr>
        <w:t>〔20</w:t>
      </w:r>
      <w:r>
        <w:rPr>
          <w:rFonts w:hint="default" w:ascii="Times New Roman" w:hAnsi="Times New Roman" w:eastAsia="仿宋_GB2312" w:cs="Times New Roman"/>
          <w:color w:val="000000"/>
          <w:kern w:val="0"/>
          <w:sz w:val="32"/>
          <w:szCs w:val="32"/>
          <w:lang w:val="en-US" w:eastAsia="zh-CN" w:bidi="ar"/>
        </w:rPr>
        <w:t>18</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sz w:val="32"/>
          <w:szCs w:val="32"/>
          <w:lang w:bidi="ar"/>
        </w:rPr>
        <w:t>19号）等制度方案，</w:t>
      </w:r>
      <w:r>
        <w:rPr>
          <w:rFonts w:hint="default" w:ascii="Times New Roman" w:hAnsi="Times New Roman" w:eastAsia="仿宋_GB2312" w:cs="Times New Roman"/>
          <w:color w:val="000000"/>
          <w:kern w:val="0"/>
          <w:sz w:val="32"/>
          <w:szCs w:val="32"/>
        </w:rPr>
        <w:t>对实施内容、工作任务、绩效目标和资金管理等做出了明确的要求和规范</w:t>
      </w:r>
      <w:r>
        <w:rPr>
          <w:rFonts w:hint="default" w:ascii="Times New Roman" w:hAnsi="Times New Roman" w:eastAsia="仿宋_GB2312" w:cs="Times New Roman"/>
          <w:color w:val="000000"/>
          <w:kern w:val="0"/>
          <w:sz w:val="32"/>
          <w:szCs w:val="32"/>
          <w:lang w:eastAsia="zh-CN"/>
        </w:rPr>
        <w:t>，以上</w:t>
      </w:r>
      <w:r>
        <w:rPr>
          <w:rFonts w:hint="default" w:ascii="Times New Roman" w:hAnsi="Times New Roman" w:eastAsia="仿宋_GB2312" w:cs="Times New Roman"/>
          <w:color w:val="000000"/>
          <w:kern w:val="0"/>
          <w:sz w:val="32"/>
          <w:szCs w:val="32"/>
          <w:lang w:bidi="ar"/>
        </w:rPr>
        <w:t>实施方案和资金管理办法内容具体明确，可操作性较强。</w:t>
      </w:r>
    </w:p>
    <w:p>
      <w:pPr>
        <w:widowControl/>
        <w:spacing w:beforeLines="0" w:afterLines="0" w:line="560" w:lineRule="exact"/>
        <w:ind w:firstLine="606"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b/>
          <w:bCs/>
          <w:color w:val="000000"/>
          <w:sz w:val="32"/>
          <w:szCs w:val="32"/>
          <w:lang w:bidi="ar"/>
        </w:rPr>
        <w:t>计划安排合理</w:t>
      </w:r>
      <w:r>
        <w:rPr>
          <w:rFonts w:hint="default" w:ascii="Times New Roman" w:hAnsi="Times New Roman" w:eastAsia="仿宋_GB2312" w:cs="Times New Roman"/>
          <w:b/>
          <w:bCs/>
          <w:color w:val="000000"/>
          <w:sz w:val="32"/>
          <w:szCs w:val="32"/>
          <w:lang w:eastAsia="zh-CN" w:bidi="ar"/>
        </w:rPr>
        <w:t>性</w:t>
      </w:r>
      <w:r>
        <w:rPr>
          <w:rFonts w:hint="default" w:ascii="Times New Roman" w:hAnsi="Times New Roman" w:eastAsia="仿宋_GB2312" w:cs="Times New Roman"/>
          <w:b/>
          <w:bCs/>
          <w:color w:val="000000"/>
          <w:sz w:val="32"/>
          <w:szCs w:val="32"/>
          <w:lang w:bidi="ar"/>
        </w:rPr>
        <w:t>。</w:t>
      </w:r>
      <w:r>
        <w:rPr>
          <w:rFonts w:hint="default" w:ascii="Times New Roman" w:hAnsi="Times New Roman" w:eastAsia="仿宋_GB2312" w:cs="Times New Roman"/>
          <w:color w:val="000000"/>
          <w:sz w:val="32"/>
          <w:szCs w:val="32"/>
          <w:lang w:bidi="ar"/>
        </w:rPr>
        <w:t>《广东省卫生计生委 广东省扶贫办 广东省人力资源社会保障厅 广东省民政厅 广东省财政厅  广东省残联 广东省中医药局关于印发〈广东省健康扶贫三年行动计划（2018-2020年）〉的通知》（粤卫</w:t>
      </w:r>
      <w:r>
        <w:rPr>
          <w:rFonts w:hint="default" w:ascii="Times New Roman" w:hAnsi="Times New Roman" w:eastAsia="仿宋_GB2312" w:cs="Times New Roman"/>
          <w:color w:val="000000"/>
          <w:kern w:val="0"/>
          <w:sz w:val="32"/>
          <w:szCs w:val="32"/>
          <w:lang w:bidi="ar"/>
        </w:rPr>
        <w:t>〔20</w:t>
      </w:r>
      <w:r>
        <w:rPr>
          <w:rFonts w:hint="default" w:ascii="Times New Roman" w:hAnsi="Times New Roman" w:eastAsia="仿宋_GB2312" w:cs="Times New Roman"/>
          <w:color w:val="000000"/>
          <w:kern w:val="0"/>
          <w:sz w:val="32"/>
          <w:szCs w:val="32"/>
          <w:lang w:val="en-US" w:eastAsia="zh-CN" w:bidi="ar"/>
        </w:rPr>
        <w:t>18</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sz w:val="32"/>
          <w:szCs w:val="32"/>
          <w:lang w:bidi="ar"/>
        </w:rPr>
        <w:t>63号），《省卫生和计划生育委员会、省教育厅、省人</w:t>
      </w:r>
      <w:r>
        <w:rPr>
          <w:rFonts w:hint="default" w:ascii="Times New Roman" w:hAnsi="Times New Roman" w:eastAsia="仿宋_GB2312" w:cs="Times New Roman"/>
          <w:color w:val="000000"/>
          <w:sz w:val="32"/>
          <w:szCs w:val="32"/>
          <w:lang w:eastAsia="zh-CN" w:bidi="ar"/>
        </w:rPr>
        <w:t>力资源</w:t>
      </w:r>
      <w:r>
        <w:rPr>
          <w:rFonts w:hint="default" w:ascii="Times New Roman" w:hAnsi="Times New Roman" w:eastAsia="仿宋_GB2312" w:cs="Times New Roman"/>
          <w:color w:val="000000"/>
          <w:sz w:val="32"/>
          <w:szCs w:val="32"/>
          <w:lang w:bidi="ar"/>
        </w:rPr>
        <w:t>社</w:t>
      </w:r>
      <w:r>
        <w:rPr>
          <w:rFonts w:hint="default" w:ascii="Times New Roman" w:hAnsi="Times New Roman" w:eastAsia="仿宋_GB2312" w:cs="Times New Roman"/>
          <w:color w:val="000000"/>
          <w:sz w:val="32"/>
          <w:szCs w:val="32"/>
          <w:lang w:eastAsia="zh-CN" w:bidi="ar"/>
        </w:rPr>
        <w:t>会保障</w:t>
      </w:r>
      <w:r>
        <w:rPr>
          <w:rFonts w:hint="default" w:ascii="Times New Roman" w:hAnsi="Times New Roman" w:eastAsia="仿宋_GB2312" w:cs="Times New Roman"/>
          <w:color w:val="000000"/>
          <w:sz w:val="32"/>
          <w:szCs w:val="32"/>
          <w:lang w:bidi="ar"/>
        </w:rPr>
        <w:t>厅和省</w:t>
      </w:r>
      <w:r>
        <w:rPr>
          <w:rFonts w:hint="default" w:ascii="Times New Roman" w:hAnsi="Times New Roman" w:eastAsia="仿宋_GB2312" w:cs="Times New Roman"/>
          <w:color w:val="000000"/>
          <w:sz w:val="32"/>
          <w:szCs w:val="32"/>
          <w:lang w:eastAsia="zh-CN" w:bidi="ar"/>
        </w:rPr>
        <w:t>委</w:t>
      </w:r>
      <w:r>
        <w:rPr>
          <w:rFonts w:hint="default" w:ascii="Times New Roman" w:hAnsi="Times New Roman" w:eastAsia="仿宋_GB2312" w:cs="Times New Roman"/>
          <w:color w:val="000000"/>
          <w:sz w:val="32"/>
          <w:szCs w:val="32"/>
          <w:lang w:bidi="ar"/>
        </w:rPr>
        <w:t>编办关于印发广东省基层卫生人才队伍建设三年行动计划（2018-2020年）的通知》（粤卫</w:t>
      </w:r>
      <w:r>
        <w:rPr>
          <w:rFonts w:hint="default" w:ascii="Times New Roman" w:hAnsi="Times New Roman" w:eastAsia="仿宋_GB2312" w:cs="Times New Roman"/>
          <w:color w:val="000000"/>
          <w:kern w:val="0"/>
          <w:sz w:val="32"/>
          <w:szCs w:val="32"/>
          <w:lang w:bidi="ar"/>
        </w:rPr>
        <w:t>〔20</w:t>
      </w:r>
      <w:r>
        <w:rPr>
          <w:rFonts w:hint="default" w:ascii="Times New Roman" w:hAnsi="Times New Roman" w:eastAsia="仿宋_GB2312" w:cs="Times New Roman"/>
          <w:color w:val="000000"/>
          <w:kern w:val="0"/>
          <w:sz w:val="32"/>
          <w:szCs w:val="32"/>
          <w:lang w:val="en-US" w:eastAsia="zh-CN" w:bidi="ar"/>
        </w:rPr>
        <w:t>18</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sz w:val="32"/>
          <w:szCs w:val="32"/>
          <w:lang w:bidi="ar"/>
        </w:rPr>
        <w:t>89号）</w:t>
      </w:r>
      <w:r>
        <w:rPr>
          <w:rFonts w:hint="default" w:ascii="Times New Roman" w:hAnsi="Times New Roman" w:eastAsia="仿宋_GB2312" w:cs="Times New Roman"/>
          <w:color w:val="000000"/>
          <w:sz w:val="32"/>
          <w:szCs w:val="32"/>
          <w:lang w:eastAsia="zh-CN" w:bidi="ar"/>
        </w:rPr>
        <w:t>等对</w:t>
      </w:r>
      <w:r>
        <w:rPr>
          <w:rFonts w:hint="default" w:ascii="Times New Roman" w:hAnsi="Times New Roman" w:eastAsia="仿宋_GB2312" w:cs="Times New Roman"/>
          <w:color w:val="000000"/>
          <w:sz w:val="32"/>
          <w:szCs w:val="32"/>
          <w:lang w:bidi="ar"/>
        </w:rPr>
        <w:t>每年</w:t>
      </w:r>
      <w:r>
        <w:rPr>
          <w:rFonts w:hint="default" w:ascii="Times New Roman" w:hAnsi="Times New Roman" w:eastAsia="仿宋_GB2312" w:cs="Times New Roman"/>
          <w:color w:val="000000"/>
          <w:sz w:val="32"/>
          <w:szCs w:val="32"/>
          <w:lang w:eastAsia="zh-CN" w:bidi="ar"/>
        </w:rPr>
        <w:t>各项目</w:t>
      </w:r>
      <w:r>
        <w:rPr>
          <w:rFonts w:hint="default" w:ascii="Times New Roman" w:hAnsi="Times New Roman" w:eastAsia="仿宋_GB2312" w:cs="Times New Roman"/>
          <w:color w:val="000000"/>
          <w:sz w:val="32"/>
          <w:szCs w:val="32"/>
          <w:lang w:bidi="ar"/>
        </w:rPr>
        <w:t>具体的任务目标和资金预算</w:t>
      </w:r>
      <w:r>
        <w:rPr>
          <w:rFonts w:hint="default" w:ascii="Times New Roman" w:hAnsi="Times New Roman" w:eastAsia="仿宋_GB2312" w:cs="Times New Roman"/>
          <w:color w:val="000000"/>
          <w:sz w:val="32"/>
          <w:szCs w:val="32"/>
          <w:lang w:eastAsia="zh-CN" w:bidi="ar"/>
        </w:rPr>
        <w:t>作出了具体安排</w:t>
      </w:r>
      <w:r>
        <w:rPr>
          <w:rFonts w:hint="default" w:ascii="Times New Roman" w:hAnsi="Times New Roman" w:eastAsia="仿宋_GB2312" w:cs="Times New Roman"/>
          <w:color w:val="000000"/>
          <w:sz w:val="32"/>
          <w:szCs w:val="32"/>
          <w:lang w:bidi="ar"/>
        </w:rPr>
        <w:t>，</w:t>
      </w:r>
      <w:r>
        <w:rPr>
          <w:rFonts w:hint="default" w:ascii="Times New Roman" w:hAnsi="Times New Roman" w:eastAsia="仿宋_GB2312" w:cs="Times New Roman"/>
          <w:color w:val="000000"/>
          <w:sz w:val="32"/>
          <w:szCs w:val="32"/>
          <w:lang w:eastAsia="zh-CN" w:bidi="ar"/>
        </w:rPr>
        <w:t>各项目实施</w:t>
      </w:r>
      <w:r>
        <w:rPr>
          <w:rFonts w:hint="default" w:ascii="Times New Roman" w:hAnsi="Times New Roman" w:eastAsia="仿宋_GB2312" w:cs="Times New Roman"/>
          <w:color w:val="000000"/>
          <w:sz w:val="32"/>
          <w:szCs w:val="32"/>
          <w:lang w:bidi="ar"/>
        </w:rPr>
        <w:t>进度符合实际情况，安排合理，计划性强。</w:t>
      </w:r>
    </w:p>
    <w:p>
      <w:pPr>
        <w:widowControl/>
        <w:spacing w:beforeLines="0" w:afterLines="0" w:line="560" w:lineRule="exact"/>
        <w:ind w:firstLine="606" w:firstLineChars="200"/>
        <w:rPr>
          <w:rFonts w:hint="default" w:ascii="Times New Roman" w:hAnsi="Times New Roman" w:eastAsia="楷体_GB2312" w:cs="Times New Roman"/>
          <w:b w:val="0"/>
          <w:bCs w:val="0"/>
          <w:color w:val="000000"/>
          <w:sz w:val="32"/>
          <w:szCs w:val="32"/>
          <w:lang w:bidi="ar"/>
        </w:rPr>
      </w:pPr>
      <w:r>
        <w:rPr>
          <w:rFonts w:hint="default" w:ascii="Times New Roman" w:hAnsi="Times New Roman" w:eastAsia="楷体_GB2312" w:cs="Times New Roman"/>
          <w:b w:val="0"/>
          <w:bCs w:val="0"/>
          <w:color w:val="000000"/>
          <w:sz w:val="32"/>
          <w:szCs w:val="32"/>
          <w:lang w:bidi="ar"/>
        </w:rPr>
        <w:t>（二）过程指标</w:t>
      </w:r>
      <w:r>
        <w:rPr>
          <w:rFonts w:hint="default" w:ascii="Times New Roman" w:hAnsi="Times New Roman" w:eastAsia="楷体_GB2312" w:cs="Times New Roman"/>
          <w:b w:val="0"/>
          <w:bCs w:val="0"/>
          <w:color w:val="000000"/>
          <w:sz w:val="32"/>
          <w:szCs w:val="32"/>
          <w:lang w:eastAsia="zh-CN" w:bidi="ar"/>
        </w:rPr>
        <w:t>完成情况分析。</w:t>
      </w:r>
    </w:p>
    <w:p>
      <w:pPr>
        <w:widowControl/>
        <w:spacing w:beforeLines="0" w:afterLines="0" w:line="560" w:lineRule="exact"/>
        <w:ind w:firstLine="606" w:firstLineChars="20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sz w:val="32"/>
          <w:szCs w:val="32"/>
          <w:lang w:val="en-US" w:eastAsia="zh-CN" w:bidi="ar"/>
        </w:rPr>
        <w:t>4.</w:t>
      </w:r>
      <w:r>
        <w:rPr>
          <w:rFonts w:hint="default" w:ascii="Times New Roman" w:hAnsi="Times New Roman" w:eastAsia="仿宋_GB2312" w:cs="Times New Roman"/>
          <w:b/>
          <w:bCs/>
          <w:color w:val="000000"/>
          <w:sz w:val="32"/>
          <w:szCs w:val="32"/>
          <w:lang w:bidi="ar"/>
        </w:rPr>
        <w:t>资金到位</w:t>
      </w:r>
      <w:r>
        <w:rPr>
          <w:rFonts w:hint="default" w:ascii="Times New Roman" w:hAnsi="Times New Roman" w:eastAsia="仿宋_GB2312" w:cs="Times New Roman"/>
          <w:b/>
          <w:bCs/>
          <w:color w:val="000000"/>
          <w:sz w:val="32"/>
          <w:szCs w:val="32"/>
          <w:lang w:eastAsia="zh-CN" w:bidi="ar"/>
        </w:rPr>
        <w:t>情况</w:t>
      </w:r>
      <w:r>
        <w:rPr>
          <w:rFonts w:hint="default" w:ascii="Times New Roman" w:hAnsi="Times New Roman" w:eastAsia="仿宋_GB2312" w:cs="Times New Roman"/>
          <w:b/>
          <w:bCs/>
          <w:color w:val="000000"/>
          <w:sz w:val="32"/>
          <w:szCs w:val="32"/>
          <w:lang w:bidi="ar"/>
        </w:rPr>
        <w:t>。</w:t>
      </w:r>
      <w:r>
        <w:rPr>
          <w:rFonts w:hint="default" w:ascii="Times New Roman" w:hAnsi="Times New Roman" w:eastAsia="仿宋_GB2312" w:cs="Times New Roman"/>
          <w:color w:val="000000"/>
          <w:kern w:val="0"/>
          <w:sz w:val="32"/>
          <w:szCs w:val="32"/>
          <w:lang w:bidi="ar"/>
        </w:rPr>
        <w:t>截至2019年3月31日，省级预算指标43248.65万元全部及时足额下达至省级预算部门、地级市和财政直管县，省级资金到位率100%，资金及时拨付率100%，资金到位及时。指标分值5分，依据评分标准，自评得分5分，得分率100%。</w:t>
      </w:r>
    </w:p>
    <w:p>
      <w:pPr>
        <w:widowControl/>
        <w:numPr>
          <w:ilvl w:val="0"/>
          <w:numId w:val="0"/>
        </w:numPr>
        <w:spacing w:beforeLines="0" w:afterLines="0" w:line="560" w:lineRule="exact"/>
        <w:ind w:firstLine="606"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b/>
          <w:bCs/>
          <w:color w:val="000000"/>
          <w:sz w:val="32"/>
          <w:szCs w:val="32"/>
          <w:lang w:val="en-US" w:eastAsia="zh-CN" w:bidi="ar"/>
        </w:rPr>
        <w:t>5.</w:t>
      </w:r>
      <w:r>
        <w:rPr>
          <w:rFonts w:hint="default" w:ascii="Times New Roman" w:hAnsi="Times New Roman" w:eastAsia="仿宋_GB2312" w:cs="Times New Roman"/>
          <w:b/>
          <w:bCs/>
          <w:color w:val="000000"/>
          <w:sz w:val="32"/>
          <w:szCs w:val="32"/>
          <w:lang w:bidi="ar"/>
        </w:rPr>
        <w:t>资金分配</w:t>
      </w:r>
      <w:r>
        <w:rPr>
          <w:rFonts w:hint="default" w:ascii="Times New Roman" w:hAnsi="Times New Roman" w:eastAsia="仿宋_GB2312" w:cs="Times New Roman"/>
          <w:b/>
          <w:bCs/>
          <w:color w:val="000000"/>
          <w:sz w:val="32"/>
          <w:szCs w:val="32"/>
          <w:lang w:eastAsia="zh-CN" w:bidi="ar"/>
        </w:rPr>
        <w:t>情况</w:t>
      </w:r>
      <w:r>
        <w:rPr>
          <w:rFonts w:hint="default" w:ascii="Times New Roman" w:hAnsi="Times New Roman" w:eastAsia="仿宋_GB2312" w:cs="Times New Roman"/>
          <w:b/>
          <w:bCs/>
          <w:color w:val="000000"/>
          <w:sz w:val="32"/>
          <w:szCs w:val="32"/>
          <w:lang w:bidi="ar"/>
        </w:rPr>
        <w:t>。</w:t>
      </w:r>
      <w:r>
        <w:rPr>
          <w:rFonts w:hint="default" w:ascii="Times New Roman" w:hAnsi="Times New Roman" w:eastAsia="仿宋_GB2312" w:cs="Times New Roman"/>
          <w:b w:val="0"/>
          <w:bCs w:val="0"/>
          <w:color w:val="000000"/>
          <w:sz w:val="32"/>
          <w:szCs w:val="32"/>
          <w:lang w:eastAsia="zh-CN" w:bidi="ar"/>
        </w:rPr>
        <w:t>按照</w:t>
      </w:r>
      <w:r>
        <w:rPr>
          <w:rFonts w:hint="default" w:ascii="Times New Roman" w:hAnsi="Times New Roman" w:eastAsia="仿宋_GB2312" w:cs="Times New Roman"/>
          <w:color w:val="000000"/>
          <w:kern w:val="0"/>
          <w:sz w:val="32"/>
          <w:szCs w:val="32"/>
          <w:lang w:bidi="ar"/>
        </w:rPr>
        <w:t>粤财</w:t>
      </w:r>
      <w:r>
        <w:rPr>
          <w:rFonts w:hint="default" w:ascii="Times New Roman" w:hAnsi="Times New Roman" w:eastAsia="仿宋_GB2312" w:cs="Times New Roman"/>
          <w:color w:val="000000"/>
          <w:kern w:val="0"/>
          <w:sz w:val="32"/>
          <w:szCs w:val="32"/>
          <w:lang w:val="en-US" w:eastAsia="zh-CN" w:bidi="ar"/>
        </w:rPr>
        <w:t>社</w:t>
      </w:r>
      <w:r>
        <w:rPr>
          <w:rFonts w:hint="default" w:ascii="Times New Roman" w:hAnsi="Times New Roman" w:eastAsia="仿宋_GB2312" w:cs="Times New Roman"/>
          <w:color w:val="000000"/>
          <w:kern w:val="0"/>
          <w:sz w:val="32"/>
          <w:szCs w:val="32"/>
          <w:lang w:bidi="ar"/>
        </w:rPr>
        <w:t>〔20</w:t>
      </w:r>
      <w:r>
        <w:rPr>
          <w:rFonts w:hint="default" w:ascii="Times New Roman" w:hAnsi="Times New Roman" w:eastAsia="仿宋_GB2312" w:cs="Times New Roman"/>
          <w:color w:val="000000"/>
          <w:kern w:val="0"/>
          <w:sz w:val="32"/>
          <w:szCs w:val="32"/>
          <w:lang w:val="en-US" w:eastAsia="zh-CN" w:bidi="ar"/>
        </w:rPr>
        <w:t>17</w:t>
      </w:r>
      <w:r>
        <w:rPr>
          <w:rFonts w:hint="default" w:ascii="Times New Roman" w:hAnsi="Times New Roman" w:eastAsia="仿宋_GB2312" w:cs="Times New Roman"/>
          <w:color w:val="000000"/>
          <w:kern w:val="0"/>
          <w:sz w:val="32"/>
          <w:szCs w:val="32"/>
          <w:lang w:bidi="ar"/>
        </w:rPr>
        <w:t>〕33号</w:t>
      </w:r>
      <w:r>
        <w:rPr>
          <w:rFonts w:hint="default" w:ascii="Times New Roman" w:hAnsi="Times New Roman" w:eastAsia="仿宋_GB2312" w:cs="Times New Roman"/>
          <w:color w:val="000000"/>
          <w:kern w:val="0"/>
          <w:sz w:val="32"/>
          <w:szCs w:val="32"/>
          <w:lang w:eastAsia="zh-CN" w:bidi="ar"/>
        </w:rPr>
        <w:t>文和</w:t>
      </w:r>
      <w:r>
        <w:rPr>
          <w:rFonts w:hint="default" w:ascii="Times New Roman" w:hAnsi="Times New Roman" w:eastAsia="仿宋_GB2312" w:cs="Times New Roman"/>
          <w:b w:val="0"/>
          <w:bCs w:val="0"/>
          <w:snapToGrid w:val="0"/>
          <w:color w:val="000000"/>
          <w:spacing w:val="4"/>
          <w:kern w:val="0"/>
          <w:sz w:val="32"/>
          <w:szCs w:val="32"/>
          <w:lang w:val="en-US" w:eastAsia="zh-CN"/>
        </w:rPr>
        <w:t>《广东省人民政府办公厅关于印发广东省医疗卫生领域省级与市县财政事权和支出责任划分改革实施方案的通知》（粤府办〔2019〕5号）等</w:t>
      </w:r>
      <w:r>
        <w:rPr>
          <w:rFonts w:hint="default" w:ascii="Times New Roman" w:hAnsi="Times New Roman" w:eastAsia="仿宋_GB2312" w:cs="Times New Roman"/>
          <w:color w:val="000000"/>
          <w:kern w:val="0"/>
          <w:sz w:val="32"/>
          <w:szCs w:val="32"/>
          <w:lang w:eastAsia="zh-CN" w:bidi="ar"/>
        </w:rPr>
        <w:t>明确的地区补助标准、财政事权与支出责任，</w:t>
      </w:r>
      <w:r>
        <w:rPr>
          <w:rFonts w:hint="default" w:ascii="Times New Roman" w:hAnsi="Times New Roman" w:eastAsia="仿宋_GB2312" w:cs="Times New Roman"/>
          <w:color w:val="000000"/>
          <w:kern w:val="0"/>
          <w:sz w:val="32"/>
          <w:szCs w:val="32"/>
          <w:lang w:bidi="ar"/>
        </w:rPr>
        <w:t>对珠三角地区</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除肇庆、江门、惠州的部分困难县(区)外</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由其所在市、县(区)自行筹资、省财政对</w:t>
      </w:r>
      <w:r>
        <w:rPr>
          <w:rFonts w:hint="default" w:ascii="Times New Roman" w:hAnsi="Times New Roman" w:eastAsia="仿宋_GB2312" w:cs="Times New Roman"/>
          <w:color w:val="000000"/>
          <w:kern w:val="0"/>
          <w:sz w:val="32"/>
          <w:szCs w:val="32"/>
          <w:lang w:eastAsia="zh-CN" w:bidi="ar"/>
        </w:rPr>
        <w:t>粤东粤西粤北</w:t>
      </w:r>
      <w:r>
        <w:rPr>
          <w:rFonts w:hint="default" w:ascii="Times New Roman" w:hAnsi="Times New Roman" w:eastAsia="仿宋_GB2312" w:cs="Times New Roman"/>
          <w:color w:val="000000"/>
          <w:kern w:val="0"/>
          <w:sz w:val="32"/>
          <w:szCs w:val="32"/>
          <w:lang w:bidi="ar"/>
        </w:rPr>
        <w:t>地区根据财力困难情况分类分档予以适当补助的方式，</w:t>
      </w:r>
      <w:r>
        <w:rPr>
          <w:rFonts w:hint="default" w:ascii="Times New Roman" w:hAnsi="Times New Roman" w:eastAsia="仿宋_GB2312" w:cs="Times New Roman"/>
          <w:color w:val="000000"/>
          <w:kern w:val="0"/>
          <w:sz w:val="32"/>
          <w:szCs w:val="32"/>
          <w:lang w:eastAsia="zh-CN" w:bidi="ar"/>
        </w:rPr>
        <w:t>资金分配</w:t>
      </w:r>
      <w:r>
        <w:rPr>
          <w:rFonts w:hint="default" w:ascii="Times New Roman" w:hAnsi="Times New Roman" w:eastAsia="仿宋_GB2312" w:cs="Times New Roman"/>
          <w:color w:val="000000"/>
          <w:kern w:val="0"/>
          <w:sz w:val="32"/>
          <w:szCs w:val="32"/>
          <w:lang w:bidi="ar"/>
        </w:rPr>
        <w:t>主要考虑人口系数、评分系数和综合系数等因素进行分配资金，培训类和设备类则采取成本核算方法测算</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sz w:val="32"/>
          <w:szCs w:val="32"/>
          <w:lang w:bidi="ar"/>
        </w:rPr>
        <w:t>资金分配客观合理，</w:t>
      </w:r>
      <w:r>
        <w:rPr>
          <w:rFonts w:hint="default" w:ascii="Times New Roman" w:hAnsi="Times New Roman" w:eastAsia="仿宋_GB2312" w:cs="Times New Roman"/>
          <w:color w:val="000000"/>
          <w:kern w:val="0"/>
          <w:sz w:val="32"/>
          <w:szCs w:val="32"/>
          <w:lang w:bidi="ar"/>
        </w:rPr>
        <w:t>有助于实现资金的绩效目标</w:t>
      </w:r>
      <w:r>
        <w:rPr>
          <w:rFonts w:hint="default" w:ascii="Times New Roman" w:hAnsi="Times New Roman" w:eastAsia="仿宋_GB2312" w:cs="Times New Roman"/>
          <w:color w:val="000000"/>
          <w:sz w:val="32"/>
          <w:szCs w:val="32"/>
          <w:lang w:bidi="ar"/>
        </w:rPr>
        <w:t>。</w:t>
      </w:r>
      <w:r>
        <w:rPr>
          <w:rFonts w:hint="default" w:ascii="Times New Roman" w:hAnsi="Times New Roman" w:eastAsia="仿宋_GB2312" w:cs="Times New Roman"/>
          <w:color w:val="000000"/>
          <w:kern w:val="0"/>
          <w:sz w:val="32"/>
          <w:szCs w:val="32"/>
          <w:lang w:bidi="ar"/>
        </w:rPr>
        <w:t>指标分值3分，自评得分3分，得分率100%。</w:t>
      </w:r>
    </w:p>
    <w:p>
      <w:pPr>
        <w:widowControl/>
        <w:numPr>
          <w:ilvl w:val="0"/>
          <w:numId w:val="0"/>
        </w:numPr>
        <w:spacing w:beforeLines="0" w:afterLines="0" w:line="560" w:lineRule="exact"/>
        <w:ind w:firstLine="606"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bidi="ar"/>
        </w:rPr>
        <w:t>6.</w:t>
      </w:r>
      <w:r>
        <w:rPr>
          <w:rFonts w:hint="default" w:ascii="Times New Roman" w:hAnsi="Times New Roman" w:eastAsia="仿宋_GB2312" w:cs="Times New Roman"/>
          <w:b/>
          <w:bCs/>
          <w:color w:val="000000"/>
          <w:sz w:val="32"/>
          <w:szCs w:val="32"/>
          <w:lang w:bidi="ar"/>
        </w:rPr>
        <w:t>资金支付</w:t>
      </w:r>
      <w:r>
        <w:rPr>
          <w:rFonts w:hint="default" w:ascii="Times New Roman" w:hAnsi="Times New Roman" w:eastAsia="仿宋_GB2312" w:cs="Times New Roman"/>
          <w:b/>
          <w:bCs/>
          <w:color w:val="000000"/>
          <w:sz w:val="32"/>
          <w:szCs w:val="32"/>
          <w:lang w:eastAsia="zh-CN" w:bidi="ar"/>
        </w:rPr>
        <w:t>情况</w:t>
      </w:r>
      <w:r>
        <w:rPr>
          <w:rFonts w:hint="default" w:ascii="Times New Roman" w:hAnsi="Times New Roman" w:eastAsia="仿宋_GB2312" w:cs="Times New Roman"/>
          <w:b/>
          <w:bCs/>
          <w:color w:val="000000"/>
          <w:sz w:val="32"/>
          <w:szCs w:val="32"/>
          <w:lang w:bidi="ar"/>
        </w:rPr>
        <w:t>。</w:t>
      </w:r>
      <w:r>
        <w:rPr>
          <w:rFonts w:hint="default" w:ascii="Times New Roman" w:hAnsi="Times New Roman" w:eastAsia="仿宋_GB2312" w:cs="Times New Roman"/>
          <w:color w:val="000000"/>
          <w:kern w:val="0"/>
          <w:sz w:val="32"/>
          <w:szCs w:val="32"/>
          <w:lang w:bidi="ar"/>
        </w:rPr>
        <w:t>在资金支付过程中，实施单位具有较强的预算绩效管理意识，及时发放</w:t>
      </w:r>
      <w:r>
        <w:rPr>
          <w:rFonts w:hint="default" w:ascii="Times New Roman" w:hAnsi="Times New Roman" w:eastAsia="仿宋_GB2312" w:cs="Times New Roman"/>
          <w:color w:val="000000"/>
          <w:kern w:val="0"/>
          <w:sz w:val="32"/>
          <w:szCs w:val="32"/>
          <w:lang w:eastAsia="zh-CN" w:bidi="ar"/>
        </w:rPr>
        <w:t>省级</w:t>
      </w:r>
      <w:r>
        <w:rPr>
          <w:rFonts w:hint="default" w:ascii="Times New Roman" w:hAnsi="Times New Roman" w:eastAsia="仿宋_GB2312" w:cs="Times New Roman"/>
          <w:color w:val="000000"/>
          <w:kern w:val="0"/>
          <w:sz w:val="32"/>
          <w:szCs w:val="32"/>
          <w:lang w:bidi="ar"/>
        </w:rPr>
        <w:t>培训对象生活补助，教学实践活动（培训考试考核、理论培训、质量控制、师资培训、师资带教补助、教学用具配备、远程培训网络建设与维护补助等）等补助经费</w:t>
      </w:r>
      <w:r>
        <w:rPr>
          <w:rFonts w:hint="default" w:ascii="Times New Roman" w:hAnsi="Times New Roman" w:eastAsia="仿宋_GB2312" w:cs="Times New Roman"/>
          <w:color w:val="000000"/>
          <w:kern w:val="0"/>
          <w:sz w:val="32"/>
          <w:szCs w:val="32"/>
          <w:lang w:eastAsia="zh-CN" w:bidi="ar"/>
        </w:rPr>
        <w:t>，资金</w:t>
      </w:r>
      <w:r>
        <w:rPr>
          <w:rFonts w:hint="default" w:ascii="Times New Roman" w:hAnsi="Times New Roman" w:eastAsia="仿宋_GB2312" w:cs="Times New Roman"/>
          <w:color w:val="000000"/>
          <w:kern w:val="0"/>
          <w:sz w:val="32"/>
          <w:szCs w:val="32"/>
          <w:lang w:bidi="ar"/>
        </w:rPr>
        <w:t>使用效率高。据统计，截至2020年3月31日，实施单位能够按照计划进度支付资金43248.65万元，支付率达100%（</w:t>
      </w:r>
      <w:r>
        <w:rPr>
          <w:rFonts w:hint="default" w:ascii="Times New Roman" w:hAnsi="Times New Roman" w:eastAsia="仿宋_GB2312" w:cs="Times New Roman"/>
          <w:color w:val="000000"/>
          <w:kern w:val="0"/>
          <w:sz w:val="32"/>
          <w:szCs w:val="32"/>
          <w:lang w:eastAsia="zh-CN" w:bidi="ar"/>
        </w:rPr>
        <w:t>具体</w:t>
      </w:r>
      <w:r>
        <w:rPr>
          <w:rFonts w:hint="default" w:ascii="Times New Roman" w:hAnsi="Times New Roman" w:eastAsia="仿宋_GB2312" w:cs="Times New Roman"/>
          <w:color w:val="000000"/>
          <w:kern w:val="0"/>
          <w:sz w:val="32"/>
          <w:szCs w:val="32"/>
          <w:lang w:bidi="ar"/>
        </w:rPr>
        <w:t>见表5）。指标分值6分，依据评分标准，自评得分6分，得分率100%。</w:t>
      </w:r>
    </w:p>
    <w:p>
      <w:pPr>
        <w:spacing w:line="360" w:lineRule="exact"/>
        <w:jc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rPr>
        <w:t>表5：</w:t>
      </w:r>
      <w:r>
        <w:rPr>
          <w:rFonts w:hint="default" w:ascii="Times New Roman" w:hAnsi="Times New Roman" w:eastAsia="仿宋_GB2312" w:cs="Times New Roman"/>
          <w:b/>
          <w:bCs/>
          <w:color w:val="000000"/>
          <w:sz w:val="32"/>
          <w:szCs w:val="32"/>
        </w:rPr>
        <w:t>项目预算执行情况表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4"/>
        <w:gridCol w:w="1412"/>
        <w:gridCol w:w="1600"/>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4" w:type="dxa"/>
            <w:shd w:val="clear" w:color="auto" w:fill="FBD4B4"/>
            <w:noWrap w:val="0"/>
            <w:vAlign w:val="center"/>
          </w:tcPr>
          <w:p>
            <w:pPr>
              <w:widowControl/>
              <w:spacing w:line="360" w:lineRule="exact"/>
              <w:jc w:val="center"/>
              <w:rPr>
                <w:rFonts w:hint="eastAsia" w:ascii="黑体" w:hAnsi="黑体" w:eastAsia="黑体" w:cs="黑体"/>
                <w:color w:val="000000"/>
                <w:kern w:val="0"/>
                <w:sz w:val="28"/>
                <w:szCs w:val="28"/>
                <w:lang w:bidi="ar"/>
              </w:rPr>
            </w:pPr>
            <w:r>
              <w:rPr>
                <w:rFonts w:hint="eastAsia" w:ascii="黑体" w:hAnsi="黑体" w:eastAsia="黑体" w:cs="黑体"/>
                <w:b/>
                <w:bCs/>
                <w:color w:val="000000"/>
                <w:kern w:val="0"/>
                <w:sz w:val="28"/>
                <w:szCs w:val="28"/>
                <w:lang w:bidi="ar"/>
              </w:rPr>
              <w:t>项目名称</w:t>
            </w:r>
          </w:p>
        </w:tc>
        <w:tc>
          <w:tcPr>
            <w:tcW w:w="1412" w:type="dxa"/>
            <w:shd w:val="clear" w:color="auto" w:fill="FBD4B4"/>
            <w:noWrap w:val="0"/>
            <w:vAlign w:val="center"/>
          </w:tcPr>
          <w:p>
            <w:pPr>
              <w:widowControl/>
              <w:spacing w:line="360" w:lineRule="exact"/>
              <w:jc w:val="center"/>
              <w:rPr>
                <w:rFonts w:hint="eastAsia" w:ascii="黑体" w:hAnsi="黑体" w:eastAsia="黑体" w:cs="黑体"/>
                <w:color w:val="000000"/>
                <w:kern w:val="0"/>
                <w:sz w:val="28"/>
                <w:szCs w:val="28"/>
                <w:lang w:bidi="ar"/>
              </w:rPr>
            </w:pPr>
            <w:r>
              <w:rPr>
                <w:rFonts w:hint="eastAsia" w:ascii="黑体" w:hAnsi="黑体" w:eastAsia="黑体" w:cs="黑体"/>
                <w:b/>
                <w:color w:val="000000"/>
                <w:kern w:val="0"/>
                <w:sz w:val="28"/>
                <w:szCs w:val="28"/>
                <w:lang w:bidi="ar"/>
              </w:rPr>
              <w:t>补助资金</w:t>
            </w:r>
            <w:r>
              <w:rPr>
                <w:rFonts w:hint="eastAsia" w:ascii="黑体" w:hAnsi="黑体" w:eastAsia="黑体" w:cs="黑体"/>
                <w:b/>
                <w:bCs/>
                <w:color w:val="000000"/>
                <w:kern w:val="0"/>
                <w:sz w:val="28"/>
                <w:szCs w:val="28"/>
              </w:rPr>
              <w:t>（万元）</w:t>
            </w:r>
          </w:p>
        </w:tc>
        <w:tc>
          <w:tcPr>
            <w:tcW w:w="1600" w:type="dxa"/>
            <w:shd w:val="clear" w:color="auto" w:fill="FBD4B4"/>
            <w:noWrap w:val="0"/>
            <w:vAlign w:val="center"/>
          </w:tcPr>
          <w:p>
            <w:pPr>
              <w:widowControl/>
              <w:spacing w:line="360" w:lineRule="exact"/>
              <w:jc w:val="center"/>
              <w:rPr>
                <w:rFonts w:hint="eastAsia" w:ascii="黑体" w:hAnsi="黑体" w:eastAsia="黑体" w:cs="黑体"/>
                <w:b/>
                <w:color w:val="000000"/>
                <w:kern w:val="0"/>
                <w:sz w:val="28"/>
                <w:szCs w:val="28"/>
                <w:lang w:bidi="ar"/>
              </w:rPr>
            </w:pPr>
            <w:r>
              <w:rPr>
                <w:rFonts w:hint="eastAsia" w:ascii="黑体" w:hAnsi="黑体" w:eastAsia="黑体" w:cs="黑体"/>
                <w:b/>
                <w:color w:val="000000"/>
                <w:kern w:val="0"/>
                <w:sz w:val="28"/>
                <w:szCs w:val="28"/>
                <w:lang w:bidi="ar"/>
              </w:rPr>
              <w:t>支出金额</w:t>
            </w:r>
            <w:r>
              <w:rPr>
                <w:rFonts w:hint="eastAsia" w:ascii="黑体" w:hAnsi="黑体" w:eastAsia="黑体" w:cs="黑体"/>
                <w:b/>
                <w:bCs/>
                <w:color w:val="000000"/>
                <w:kern w:val="0"/>
                <w:sz w:val="28"/>
                <w:szCs w:val="28"/>
              </w:rPr>
              <w:t>（万元）</w:t>
            </w:r>
          </w:p>
        </w:tc>
        <w:tc>
          <w:tcPr>
            <w:tcW w:w="1488" w:type="dxa"/>
            <w:shd w:val="clear" w:color="auto" w:fill="FBD4B4"/>
            <w:noWrap w:val="0"/>
            <w:vAlign w:val="center"/>
          </w:tcPr>
          <w:p>
            <w:pPr>
              <w:widowControl/>
              <w:spacing w:line="360" w:lineRule="exact"/>
              <w:jc w:val="center"/>
              <w:rPr>
                <w:rFonts w:hint="eastAsia" w:ascii="黑体" w:hAnsi="黑体" w:eastAsia="黑体" w:cs="黑体"/>
                <w:b/>
                <w:color w:val="000000"/>
                <w:kern w:val="0"/>
                <w:sz w:val="28"/>
                <w:szCs w:val="28"/>
                <w:lang w:bidi="ar"/>
              </w:rPr>
            </w:pPr>
            <w:r>
              <w:rPr>
                <w:rFonts w:hint="eastAsia" w:ascii="黑体" w:hAnsi="黑体" w:eastAsia="黑体" w:cs="黑体"/>
                <w:b/>
                <w:color w:val="000000"/>
                <w:kern w:val="0"/>
                <w:sz w:val="28"/>
                <w:szCs w:val="28"/>
                <w:lang w:bidi="ar"/>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4"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合计</w:t>
            </w:r>
          </w:p>
        </w:tc>
        <w:tc>
          <w:tcPr>
            <w:tcW w:w="1412"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43248.65</w:t>
            </w:r>
          </w:p>
        </w:tc>
        <w:tc>
          <w:tcPr>
            <w:tcW w:w="1600"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43248.65</w:t>
            </w:r>
          </w:p>
        </w:tc>
        <w:tc>
          <w:tcPr>
            <w:tcW w:w="1488"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974" w:type="dxa"/>
            <w:noWrap w:val="0"/>
            <w:vAlign w:val="top"/>
          </w:tcPr>
          <w:p>
            <w:pPr>
              <w:widowControl/>
              <w:spacing w:line="360" w:lineRule="exact"/>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1.住院医师规范化培训</w:t>
            </w:r>
          </w:p>
        </w:tc>
        <w:tc>
          <w:tcPr>
            <w:tcW w:w="1412"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15024.00</w:t>
            </w:r>
          </w:p>
        </w:tc>
        <w:tc>
          <w:tcPr>
            <w:tcW w:w="1600"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15024.00</w:t>
            </w:r>
          </w:p>
        </w:tc>
        <w:tc>
          <w:tcPr>
            <w:tcW w:w="1488"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4" w:type="dxa"/>
            <w:noWrap w:val="0"/>
            <w:vAlign w:val="top"/>
          </w:tcPr>
          <w:p>
            <w:pPr>
              <w:widowControl/>
              <w:spacing w:line="360" w:lineRule="exact"/>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2.全科医生培训</w:t>
            </w:r>
          </w:p>
        </w:tc>
        <w:tc>
          <w:tcPr>
            <w:tcW w:w="1412"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12050.01</w:t>
            </w:r>
          </w:p>
        </w:tc>
        <w:tc>
          <w:tcPr>
            <w:tcW w:w="1600"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12050.01</w:t>
            </w:r>
          </w:p>
        </w:tc>
        <w:tc>
          <w:tcPr>
            <w:tcW w:w="1488"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4" w:type="dxa"/>
            <w:noWrap w:val="0"/>
            <w:vAlign w:val="top"/>
          </w:tcPr>
          <w:p>
            <w:pPr>
              <w:widowControl/>
              <w:spacing w:line="360" w:lineRule="exact"/>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3.订单定向培养医学大学生</w:t>
            </w:r>
          </w:p>
        </w:tc>
        <w:tc>
          <w:tcPr>
            <w:tcW w:w="1412"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5199.24</w:t>
            </w:r>
          </w:p>
        </w:tc>
        <w:tc>
          <w:tcPr>
            <w:tcW w:w="1600"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5199.24</w:t>
            </w:r>
          </w:p>
        </w:tc>
        <w:tc>
          <w:tcPr>
            <w:tcW w:w="1488"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4" w:type="dxa"/>
            <w:noWrap w:val="0"/>
            <w:vAlign w:val="top"/>
          </w:tcPr>
          <w:p>
            <w:pPr>
              <w:widowControl/>
              <w:spacing w:line="360" w:lineRule="exact"/>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4.产儿科转岗培训</w:t>
            </w:r>
          </w:p>
        </w:tc>
        <w:tc>
          <w:tcPr>
            <w:tcW w:w="1412"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1720.00</w:t>
            </w:r>
          </w:p>
        </w:tc>
        <w:tc>
          <w:tcPr>
            <w:tcW w:w="1600"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1720.00</w:t>
            </w:r>
          </w:p>
        </w:tc>
        <w:tc>
          <w:tcPr>
            <w:tcW w:w="1488"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4" w:type="dxa"/>
            <w:noWrap w:val="0"/>
            <w:vAlign w:val="top"/>
          </w:tcPr>
          <w:p>
            <w:pPr>
              <w:widowControl/>
              <w:spacing w:line="360" w:lineRule="exact"/>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5.家庭医生团队骨干师资培训</w:t>
            </w:r>
          </w:p>
        </w:tc>
        <w:tc>
          <w:tcPr>
            <w:tcW w:w="1412"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272.00</w:t>
            </w:r>
          </w:p>
        </w:tc>
        <w:tc>
          <w:tcPr>
            <w:tcW w:w="1600"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272.00</w:t>
            </w:r>
          </w:p>
        </w:tc>
        <w:tc>
          <w:tcPr>
            <w:tcW w:w="1488"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3974" w:type="dxa"/>
            <w:noWrap w:val="0"/>
            <w:vAlign w:val="top"/>
          </w:tcPr>
          <w:p>
            <w:pPr>
              <w:widowControl/>
              <w:spacing w:line="360" w:lineRule="exact"/>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6.百名首席专家下基层计划</w:t>
            </w:r>
          </w:p>
        </w:tc>
        <w:tc>
          <w:tcPr>
            <w:tcW w:w="1412"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2000.00</w:t>
            </w:r>
          </w:p>
        </w:tc>
        <w:tc>
          <w:tcPr>
            <w:tcW w:w="1600"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2000.00</w:t>
            </w:r>
          </w:p>
        </w:tc>
        <w:tc>
          <w:tcPr>
            <w:tcW w:w="1488"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974" w:type="dxa"/>
            <w:noWrap w:val="0"/>
            <w:vAlign w:val="top"/>
          </w:tcPr>
          <w:p>
            <w:pPr>
              <w:widowControl/>
              <w:spacing w:line="360" w:lineRule="exact"/>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7.千名高校毕业生下基层</w:t>
            </w:r>
          </w:p>
        </w:tc>
        <w:tc>
          <w:tcPr>
            <w:tcW w:w="1412"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850.00</w:t>
            </w:r>
          </w:p>
        </w:tc>
        <w:tc>
          <w:tcPr>
            <w:tcW w:w="1600"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850.00</w:t>
            </w:r>
          </w:p>
        </w:tc>
        <w:tc>
          <w:tcPr>
            <w:tcW w:w="1488"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974" w:type="dxa"/>
            <w:noWrap w:val="0"/>
            <w:vAlign w:val="top"/>
          </w:tcPr>
          <w:p>
            <w:pPr>
              <w:widowControl/>
              <w:spacing w:line="360" w:lineRule="exact"/>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8.县级公立医院专科特设岗位</w:t>
            </w:r>
          </w:p>
        </w:tc>
        <w:tc>
          <w:tcPr>
            <w:tcW w:w="1412"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3400.00</w:t>
            </w:r>
          </w:p>
        </w:tc>
        <w:tc>
          <w:tcPr>
            <w:tcW w:w="1600"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3400.00</w:t>
            </w:r>
          </w:p>
        </w:tc>
        <w:tc>
          <w:tcPr>
            <w:tcW w:w="1488" w:type="dxa"/>
            <w:noWrap w:val="0"/>
            <w:vAlign w:val="top"/>
          </w:tcPr>
          <w:p>
            <w:pPr>
              <w:snapToGrid w:val="0"/>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3974" w:type="dxa"/>
            <w:noWrap w:val="0"/>
            <w:vAlign w:val="top"/>
          </w:tcPr>
          <w:p>
            <w:pPr>
              <w:widowControl/>
              <w:spacing w:line="360" w:lineRule="exact"/>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9.</w:t>
            </w:r>
            <w:r>
              <w:rPr>
                <w:rFonts w:hint="default" w:ascii="Times New Roman" w:hAnsi="Times New Roman" w:eastAsia="仿宋_GB2312" w:cs="Times New Roman"/>
                <w:bCs/>
                <w:color w:val="000000"/>
                <w:kern w:val="0"/>
                <w:sz w:val="28"/>
                <w:szCs w:val="28"/>
                <w:lang w:bidi="ar"/>
              </w:rPr>
              <w:t>精准扶贫村健康监测项目</w:t>
            </w:r>
          </w:p>
        </w:tc>
        <w:tc>
          <w:tcPr>
            <w:tcW w:w="1412"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2732.40</w:t>
            </w:r>
          </w:p>
        </w:tc>
        <w:tc>
          <w:tcPr>
            <w:tcW w:w="1600" w:type="dxa"/>
            <w:noWrap w:val="0"/>
            <w:vAlign w:val="top"/>
          </w:tcPr>
          <w:p>
            <w:pPr>
              <w:widowControl/>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2732.40</w:t>
            </w:r>
          </w:p>
        </w:tc>
        <w:tc>
          <w:tcPr>
            <w:tcW w:w="1488" w:type="dxa"/>
            <w:noWrap w:val="0"/>
            <w:vAlign w:val="top"/>
          </w:tcPr>
          <w:p>
            <w:pPr>
              <w:snapToGrid w:val="0"/>
              <w:spacing w:line="360" w:lineRule="exact"/>
              <w:jc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100%</w:t>
            </w:r>
          </w:p>
        </w:tc>
      </w:tr>
    </w:tbl>
    <w:p>
      <w:pPr>
        <w:widowControl/>
        <w:numPr>
          <w:ilvl w:val="0"/>
          <w:numId w:val="0"/>
        </w:numPr>
        <w:spacing w:beforeLines="0" w:afterLines="0" w:line="560" w:lineRule="exact"/>
        <w:ind w:firstLine="1212" w:firstLineChars="400"/>
        <w:rPr>
          <w:rFonts w:hint="default" w:ascii="Times New Roman" w:hAnsi="Times New Roman" w:eastAsia="仿宋_GB2312" w:cs="Times New Roman"/>
          <w:b/>
          <w:bCs/>
          <w:color w:val="000000"/>
          <w:sz w:val="32"/>
          <w:szCs w:val="32"/>
          <w:lang w:val="en-US" w:eastAsia="zh-CN" w:bidi="ar"/>
        </w:rPr>
      </w:pPr>
    </w:p>
    <w:p>
      <w:pPr>
        <w:widowControl/>
        <w:numPr>
          <w:ilvl w:val="0"/>
          <w:numId w:val="0"/>
        </w:numPr>
        <w:spacing w:line="560" w:lineRule="exact"/>
        <w:ind w:firstLine="606" w:firstLineChars="20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sz w:val="32"/>
          <w:szCs w:val="32"/>
          <w:lang w:val="en-US" w:eastAsia="zh-CN" w:bidi="ar"/>
        </w:rPr>
        <w:t>7.</w:t>
      </w:r>
      <w:r>
        <w:rPr>
          <w:rFonts w:hint="default" w:ascii="Times New Roman" w:hAnsi="Times New Roman" w:eastAsia="仿宋_GB2312" w:cs="Times New Roman"/>
          <w:b/>
          <w:bCs/>
          <w:color w:val="000000"/>
          <w:sz w:val="32"/>
          <w:szCs w:val="32"/>
          <w:lang w:bidi="ar"/>
        </w:rPr>
        <w:t>支出规范性</w:t>
      </w:r>
      <w:r>
        <w:rPr>
          <w:rFonts w:hint="default" w:ascii="Times New Roman" w:hAnsi="Times New Roman" w:eastAsia="仿宋_GB2312" w:cs="Times New Roman"/>
          <w:b/>
          <w:bCs/>
          <w:color w:val="000000"/>
          <w:sz w:val="32"/>
          <w:szCs w:val="32"/>
          <w:lang w:eastAsia="zh-CN" w:bidi="ar"/>
        </w:rPr>
        <w:t>情况</w:t>
      </w:r>
      <w:r>
        <w:rPr>
          <w:rFonts w:hint="default" w:ascii="Times New Roman" w:hAnsi="Times New Roman" w:eastAsia="仿宋_GB2312" w:cs="Times New Roman"/>
          <w:b/>
          <w:bCs/>
          <w:color w:val="000000"/>
          <w:sz w:val="32"/>
          <w:szCs w:val="32"/>
          <w:lang w:bidi="ar"/>
        </w:rPr>
        <w:t>。</w:t>
      </w:r>
      <w:r>
        <w:rPr>
          <w:rFonts w:hint="default" w:ascii="Times New Roman" w:hAnsi="Times New Roman" w:eastAsia="仿宋_GB2312" w:cs="Times New Roman"/>
          <w:color w:val="000000"/>
          <w:kern w:val="0"/>
          <w:sz w:val="32"/>
          <w:szCs w:val="32"/>
        </w:rPr>
        <w:t>各实施单位预算执行比较规范，能按照相关制度规定使用资金和进行会计核算，资金支付能按事项完成进度支付，并通过国库集中支付，资金拨付和使用有相对完整的审批程序和手续，没有发生预算调整的事项</w:t>
      </w:r>
      <w:r>
        <w:rPr>
          <w:rFonts w:hint="default" w:ascii="Times New Roman" w:hAnsi="Times New Roman" w:eastAsia="仿宋_GB2312" w:cs="Times New Roman"/>
          <w:color w:val="000000"/>
          <w:kern w:val="0"/>
          <w:sz w:val="32"/>
          <w:szCs w:val="32"/>
          <w:lang w:eastAsia="zh-CN"/>
        </w:rPr>
        <w:t>，亦</w:t>
      </w:r>
      <w:r>
        <w:rPr>
          <w:rFonts w:hint="default" w:ascii="Times New Roman" w:hAnsi="Times New Roman" w:eastAsia="仿宋_GB2312" w:cs="Times New Roman"/>
          <w:color w:val="000000"/>
          <w:kern w:val="0"/>
          <w:sz w:val="32"/>
          <w:szCs w:val="32"/>
        </w:rPr>
        <w:t>没有发现超范围、超标准支出和虚列支出等问题，</w:t>
      </w:r>
      <w:r>
        <w:rPr>
          <w:rFonts w:hint="default" w:ascii="Times New Roman" w:hAnsi="Times New Roman" w:eastAsia="仿宋_GB2312" w:cs="Times New Roman"/>
          <w:color w:val="000000"/>
          <w:kern w:val="0"/>
          <w:sz w:val="32"/>
          <w:szCs w:val="32"/>
          <w:lang w:eastAsia="zh-CN"/>
        </w:rPr>
        <w:t>也不存在</w:t>
      </w:r>
      <w:r>
        <w:rPr>
          <w:rFonts w:hint="default" w:ascii="Times New Roman" w:hAnsi="Times New Roman" w:eastAsia="仿宋_GB2312" w:cs="Times New Roman"/>
          <w:color w:val="000000"/>
          <w:kern w:val="0"/>
          <w:sz w:val="32"/>
          <w:szCs w:val="32"/>
        </w:rPr>
        <w:t>截留、挤占、挪用资金等不合规的情况。</w:t>
      </w:r>
      <w:r>
        <w:rPr>
          <w:rFonts w:hint="default" w:ascii="Times New Roman" w:hAnsi="Times New Roman" w:eastAsia="仿宋_GB2312" w:cs="Times New Roman"/>
          <w:color w:val="000000"/>
          <w:kern w:val="0"/>
          <w:sz w:val="32"/>
          <w:szCs w:val="32"/>
          <w:lang w:bidi="ar"/>
        </w:rPr>
        <w:t>指标分值6分，自评得分6分，得分率100%。</w:t>
      </w:r>
    </w:p>
    <w:p>
      <w:pPr>
        <w:numPr>
          <w:ilvl w:val="0"/>
          <w:numId w:val="0"/>
        </w:numPr>
        <w:autoSpaceDE w:val="0"/>
        <w:autoSpaceDN w:val="0"/>
        <w:spacing w:line="560" w:lineRule="exact"/>
        <w:ind w:firstLine="606"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lang w:val="en-US" w:eastAsia="zh-CN"/>
        </w:rPr>
        <w:t>8.</w:t>
      </w:r>
      <w:r>
        <w:rPr>
          <w:rFonts w:hint="default" w:ascii="Times New Roman" w:hAnsi="Times New Roman" w:eastAsia="仿宋_GB2312" w:cs="Times New Roman"/>
          <w:b/>
          <w:bCs/>
          <w:color w:val="000000"/>
          <w:kern w:val="0"/>
          <w:sz w:val="32"/>
          <w:szCs w:val="32"/>
        </w:rPr>
        <w:t>实施程序</w:t>
      </w:r>
      <w:r>
        <w:rPr>
          <w:rFonts w:hint="default" w:ascii="Times New Roman" w:hAnsi="Times New Roman" w:eastAsia="仿宋_GB2312" w:cs="Times New Roman"/>
          <w:b/>
          <w:bCs/>
          <w:color w:val="000000"/>
          <w:kern w:val="0"/>
          <w:sz w:val="32"/>
          <w:szCs w:val="32"/>
          <w:lang w:eastAsia="zh-CN"/>
        </w:rPr>
        <w:t>情况</w:t>
      </w:r>
      <w:r>
        <w:rPr>
          <w:rFonts w:hint="default" w:ascii="Times New Roman" w:hAnsi="Times New Roman" w:eastAsia="仿宋_GB2312" w:cs="Times New Roman"/>
          <w:b/>
          <w:bCs/>
          <w:color w:val="000000"/>
          <w:kern w:val="0"/>
          <w:sz w:val="32"/>
          <w:szCs w:val="32"/>
        </w:rPr>
        <w:t>。</w:t>
      </w:r>
      <w:r>
        <w:rPr>
          <w:rFonts w:hint="default" w:ascii="Times New Roman" w:hAnsi="Times New Roman" w:eastAsia="仿宋_GB2312" w:cs="Times New Roman"/>
          <w:color w:val="000000"/>
          <w:kern w:val="0"/>
          <w:sz w:val="32"/>
          <w:szCs w:val="32"/>
        </w:rPr>
        <w:t>各实施单位基本能严格执行政府采购法规和条例，采购完毕后，能按规定程序办理验收手续，并及时办理资产的入账入册入库工作。截至评价日，项目实施过程中没有发生项目或方案调整事项</w:t>
      </w:r>
      <w:r>
        <w:rPr>
          <w:rFonts w:hint="default" w:ascii="Times New Roman" w:hAnsi="Times New Roman" w:eastAsia="仿宋_GB2312" w:cs="Times New Roman"/>
          <w:color w:val="000000"/>
          <w:sz w:val="32"/>
          <w:szCs w:val="32"/>
          <w:lang w:eastAsia="zh-CN" w:bidi="ar"/>
        </w:rPr>
        <w:t>，但待有待改进</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bidi="ar"/>
        </w:rPr>
        <w:t>指标分值4分，</w:t>
      </w:r>
      <w:r>
        <w:rPr>
          <w:rFonts w:hint="default" w:ascii="Times New Roman" w:hAnsi="Times New Roman" w:eastAsia="仿宋_GB2312" w:cs="Times New Roman"/>
          <w:color w:val="000000"/>
          <w:kern w:val="0"/>
          <w:sz w:val="32"/>
          <w:szCs w:val="32"/>
        </w:rPr>
        <w:t>依据评分标准，</w:t>
      </w:r>
      <w:r>
        <w:rPr>
          <w:rFonts w:hint="default" w:ascii="Times New Roman" w:hAnsi="Times New Roman" w:eastAsia="仿宋_GB2312" w:cs="Times New Roman"/>
          <w:color w:val="000000"/>
          <w:kern w:val="0"/>
          <w:sz w:val="32"/>
          <w:szCs w:val="32"/>
          <w:lang w:bidi="ar"/>
        </w:rPr>
        <w:t>自评核扣</w:t>
      </w:r>
      <w:r>
        <w:rPr>
          <w:rFonts w:hint="default" w:ascii="Times New Roman" w:hAnsi="Times New Roman" w:eastAsia="仿宋_GB2312" w:cs="Times New Roman"/>
          <w:color w:val="000000"/>
          <w:sz w:val="32"/>
          <w:szCs w:val="32"/>
        </w:rPr>
        <w:t>0.5分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kern w:val="0"/>
          <w:sz w:val="32"/>
          <w:szCs w:val="32"/>
          <w:lang w:bidi="ar"/>
        </w:rPr>
        <w:t>自评得分3.5分，得分率87.5%。</w:t>
      </w:r>
    </w:p>
    <w:p>
      <w:pPr>
        <w:numPr>
          <w:ilvl w:val="0"/>
          <w:numId w:val="0"/>
        </w:numPr>
        <w:autoSpaceDE w:val="0"/>
        <w:autoSpaceDN w:val="0"/>
        <w:spacing w:line="560" w:lineRule="exact"/>
        <w:ind w:firstLine="606"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0"/>
          <w:sz w:val="32"/>
          <w:szCs w:val="32"/>
          <w:lang w:val="en-US" w:eastAsia="zh-CN"/>
        </w:rPr>
        <w:t>9.</w:t>
      </w:r>
      <w:r>
        <w:rPr>
          <w:rFonts w:hint="default" w:ascii="Times New Roman" w:hAnsi="Times New Roman" w:eastAsia="仿宋_GB2312" w:cs="Times New Roman"/>
          <w:b/>
          <w:bCs/>
          <w:color w:val="000000"/>
          <w:kern w:val="0"/>
          <w:sz w:val="32"/>
          <w:szCs w:val="32"/>
          <w:lang w:eastAsia="zh-CN"/>
        </w:rPr>
        <w:t>项目</w:t>
      </w:r>
      <w:r>
        <w:rPr>
          <w:rFonts w:hint="default" w:ascii="Times New Roman" w:hAnsi="Times New Roman" w:eastAsia="仿宋_GB2312" w:cs="Times New Roman"/>
          <w:b/>
          <w:bCs/>
          <w:color w:val="000000"/>
          <w:kern w:val="0"/>
          <w:sz w:val="32"/>
          <w:szCs w:val="32"/>
        </w:rPr>
        <w:t>管理情况。</w:t>
      </w:r>
      <w:r>
        <w:rPr>
          <w:rFonts w:hint="default" w:ascii="Times New Roman" w:hAnsi="Times New Roman" w:eastAsia="仿宋_GB2312" w:cs="Times New Roman"/>
          <w:color w:val="000000"/>
          <w:sz w:val="32"/>
          <w:szCs w:val="32"/>
          <w:lang w:bidi="ar"/>
        </w:rPr>
        <w:t>该指标主要评价管理机制建设及执行情况、各级业务主管部门按规定开展有效的检查、监控、督促整改情况</w:t>
      </w:r>
      <w:r>
        <w:rPr>
          <w:rFonts w:hint="default" w:ascii="Times New Roman" w:hAnsi="Times New Roman" w:eastAsia="仿宋_GB2312" w:cs="Times New Roman"/>
          <w:color w:val="000000"/>
          <w:sz w:val="32"/>
          <w:szCs w:val="32"/>
          <w:lang w:eastAsia="zh-CN" w:bidi="ar"/>
        </w:rPr>
        <w:t>，但待有待改进</w:t>
      </w:r>
      <w:r>
        <w:rPr>
          <w:rFonts w:hint="default" w:ascii="Times New Roman" w:hAnsi="Times New Roman" w:eastAsia="仿宋_GB2312" w:cs="Times New Roman"/>
          <w:color w:val="000000"/>
          <w:sz w:val="32"/>
          <w:szCs w:val="32"/>
          <w:lang w:bidi="ar"/>
        </w:rPr>
        <w:t>。</w:t>
      </w:r>
      <w:r>
        <w:rPr>
          <w:rFonts w:hint="default" w:ascii="Times New Roman" w:hAnsi="Times New Roman" w:eastAsia="仿宋_GB2312" w:cs="Times New Roman"/>
          <w:color w:val="000000"/>
          <w:kern w:val="0"/>
          <w:sz w:val="32"/>
          <w:szCs w:val="32"/>
          <w:lang w:bidi="ar"/>
        </w:rPr>
        <w:t>指标分值4分，自评得分3分，得分率75%。</w:t>
      </w:r>
    </w:p>
    <w:p>
      <w:pPr>
        <w:spacing w:line="560" w:lineRule="exact"/>
        <w:ind w:firstLine="606" w:firstLineChars="20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eastAsia="zh-CN" w:bidi="ar"/>
        </w:rPr>
        <w:t>完善项目实施管理体制机制方面</w:t>
      </w:r>
      <w:r>
        <w:rPr>
          <w:rFonts w:hint="default" w:ascii="Times New Roman" w:hAnsi="Times New Roman" w:eastAsia="仿宋_GB2312" w:cs="Times New Roman"/>
          <w:b/>
          <w:bCs/>
          <w:color w:val="000000"/>
          <w:kern w:val="0"/>
          <w:sz w:val="32"/>
          <w:szCs w:val="32"/>
          <w:lang w:bidi="ar"/>
        </w:rPr>
        <w:t>。一是</w:t>
      </w:r>
      <w:r>
        <w:rPr>
          <w:rFonts w:hint="default" w:ascii="Times New Roman" w:hAnsi="Times New Roman" w:eastAsia="仿宋_GB2312" w:cs="Times New Roman"/>
          <w:color w:val="000000"/>
          <w:kern w:val="0"/>
          <w:sz w:val="32"/>
          <w:szCs w:val="32"/>
          <w:lang w:bidi="ar"/>
        </w:rPr>
        <w:t>提前谋划，主动作为，制定细化方案，同时，做好学员招收宣传。以市为单位，通过发函、现场招生等方式组团招生。及时组织二级及以上医疗机构临床医师（含中医类别及退休返聘）参加全科医生和产儿科医师培训。鼓励将当地院校、监狱、戒毒场所等单位医疗机构临床医师纳入培训范围；</w:t>
      </w:r>
      <w:r>
        <w:rPr>
          <w:rFonts w:hint="default" w:ascii="Times New Roman" w:hAnsi="Times New Roman" w:eastAsia="仿宋_GB2312" w:cs="Times New Roman"/>
          <w:color w:val="000000"/>
          <w:kern w:val="0"/>
          <w:sz w:val="32"/>
          <w:szCs w:val="32"/>
        </w:rPr>
        <w:t>按照粤东粤西粤北地区常住人口数比例、全科医生缺口数和各地市上报的培养需求，确定2019年各有关县（市、区）订单定向培养计划，并把定向培养计划指标重点安排给47家升级建设的中心卫生院；</w:t>
      </w:r>
      <w:r>
        <w:rPr>
          <w:rFonts w:hint="default" w:ascii="Times New Roman" w:hAnsi="Times New Roman" w:eastAsia="仿宋_GB2312" w:cs="Times New Roman"/>
          <w:b/>
          <w:bCs/>
          <w:color w:val="000000"/>
          <w:kern w:val="0"/>
          <w:sz w:val="32"/>
          <w:szCs w:val="32"/>
          <w:lang w:bidi="ar"/>
        </w:rPr>
        <w:t>二是</w:t>
      </w:r>
      <w:r>
        <w:rPr>
          <w:rFonts w:hint="default" w:ascii="Times New Roman" w:hAnsi="Times New Roman" w:eastAsia="仿宋_GB2312" w:cs="Times New Roman"/>
          <w:color w:val="000000"/>
          <w:kern w:val="0"/>
          <w:sz w:val="32"/>
          <w:szCs w:val="32"/>
          <w:lang w:bidi="ar"/>
        </w:rPr>
        <w:t>严格遴选培训基地。按照国家关于住院医师规范化培训基地和助理全科医生培训基地的建设标准，科学设置基地，规范建设基地，加强基地管理，进一步完善临床技能中心和基层实践基地建设。</w:t>
      </w:r>
      <w:r>
        <w:rPr>
          <w:rFonts w:hint="default" w:ascii="Times New Roman" w:hAnsi="Times New Roman" w:eastAsia="仿宋_GB2312" w:cs="Times New Roman"/>
          <w:color w:val="000000"/>
          <w:sz w:val="32"/>
          <w:szCs w:val="32"/>
        </w:rPr>
        <w:t>确定</w:t>
      </w:r>
      <w:r>
        <w:rPr>
          <w:rFonts w:hint="default" w:ascii="Times New Roman" w:hAnsi="Times New Roman" w:eastAsia="仿宋_GB2312" w:cs="Times New Roman"/>
          <w:color w:val="000000"/>
          <w:kern w:val="0"/>
          <w:sz w:val="32"/>
          <w:szCs w:val="32"/>
        </w:rPr>
        <w:t>广州海珠区沙园街道社区卫生服务中心等</w:t>
      </w:r>
      <w:r>
        <w:rPr>
          <w:rFonts w:hint="default" w:ascii="Times New Roman" w:hAnsi="Times New Roman" w:eastAsia="仿宋_GB2312" w:cs="Times New Roman"/>
          <w:color w:val="000000"/>
          <w:sz w:val="32"/>
          <w:szCs w:val="32"/>
        </w:rPr>
        <w:t>8个省级培训基地培训</w:t>
      </w:r>
      <w:r>
        <w:rPr>
          <w:rFonts w:hint="default" w:ascii="Times New Roman" w:hAnsi="Times New Roman" w:eastAsia="仿宋_GB2312" w:cs="Times New Roman"/>
          <w:color w:val="000000"/>
          <w:sz w:val="32"/>
          <w:szCs w:val="32"/>
          <w:lang w:eastAsia="zh-CN"/>
        </w:rPr>
        <w:t>粤东粤西粤北</w:t>
      </w:r>
      <w:r>
        <w:rPr>
          <w:rFonts w:hint="default" w:ascii="Times New Roman" w:hAnsi="Times New Roman" w:eastAsia="仿宋_GB2312" w:cs="Times New Roman"/>
          <w:color w:val="000000"/>
          <w:sz w:val="32"/>
          <w:szCs w:val="32"/>
        </w:rPr>
        <w:t>14个经济欠发达地市及江门（开平、台山、恩平市）的一级学员，一级学员作为市级师资培训本市二级学员，二级学员回到县（市、区）培训三级学员，实现家庭医生服务团队培训基层人的“滚雪球培训”；</w:t>
      </w:r>
      <w:r>
        <w:rPr>
          <w:rFonts w:hint="default" w:ascii="Times New Roman" w:hAnsi="Times New Roman" w:eastAsia="仿宋_GB2312" w:cs="Times New Roman"/>
          <w:b/>
          <w:bCs/>
          <w:color w:val="000000"/>
          <w:kern w:val="0"/>
          <w:sz w:val="32"/>
          <w:szCs w:val="32"/>
          <w:lang w:bidi="ar"/>
        </w:rPr>
        <w:t>三是</w:t>
      </w:r>
      <w:r>
        <w:rPr>
          <w:rFonts w:hint="default" w:ascii="Times New Roman" w:hAnsi="Times New Roman" w:eastAsia="仿宋_GB2312" w:cs="Times New Roman"/>
          <w:color w:val="000000"/>
          <w:kern w:val="0"/>
          <w:sz w:val="32"/>
          <w:szCs w:val="32"/>
          <w:lang w:bidi="ar"/>
        </w:rPr>
        <w:t>加强带教师资遴选和培训，建立健全师资激励机制，及时发放学员生活补助，为培训学员创造更好的学习、生活环境。全科医生培训协作体牵头基地对协作体内助理全科医生培训基地带教师资培训、轮科安排及培训过程等工作的指导。省部属医学院校附属医院、委直属医院以及珠三角的全科专业住培基地按照城市三甲医院对口帮扶县级医院的安排，深化与粤东粤西粤北地区助理全科医生培训基地的结对帮扶，帮助完善与提升培训条件和培训管理能力；</w:t>
      </w:r>
      <w:r>
        <w:rPr>
          <w:rFonts w:hint="default" w:ascii="Times New Roman" w:hAnsi="Times New Roman" w:eastAsia="仿宋_GB2312" w:cs="Times New Roman"/>
          <w:b/>
          <w:bCs/>
          <w:color w:val="000000"/>
          <w:kern w:val="0"/>
          <w:sz w:val="32"/>
          <w:szCs w:val="32"/>
          <w:lang w:bidi="ar"/>
        </w:rPr>
        <w:t>四是</w:t>
      </w:r>
      <w:r>
        <w:rPr>
          <w:rFonts w:hint="default" w:ascii="Times New Roman" w:hAnsi="Times New Roman" w:eastAsia="仿宋_GB2312" w:cs="Times New Roman"/>
          <w:color w:val="000000"/>
          <w:kern w:val="0"/>
          <w:sz w:val="32"/>
          <w:szCs w:val="32"/>
          <w:lang w:bidi="ar"/>
        </w:rPr>
        <w:t>做好结业考核相关工作。同时引导合格结业学员在培训基地和基层医疗卫生机构提供全科医疗服务；</w:t>
      </w:r>
      <w:r>
        <w:rPr>
          <w:rFonts w:hint="default" w:ascii="Times New Roman" w:hAnsi="Times New Roman" w:eastAsia="仿宋_GB2312" w:cs="Times New Roman"/>
          <w:b/>
          <w:bCs/>
          <w:color w:val="000000"/>
          <w:kern w:val="0"/>
          <w:sz w:val="32"/>
          <w:szCs w:val="32"/>
          <w:lang w:bidi="ar"/>
        </w:rPr>
        <w:t>五是</w:t>
      </w:r>
      <w:r>
        <w:rPr>
          <w:rFonts w:hint="default" w:ascii="Times New Roman" w:hAnsi="Times New Roman" w:eastAsia="仿宋_GB2312" w:cs="Times New Roman"/>
          <w:color w:val="000000"/>
          <w:kern w:val="0"/>
          <w:sz w:val="32"/>
          <w:szCs w:val="32"/>
          <w:lang w:bidi="ar"/>
        </w:rPr>
        <w:t>实行培训月报制度。各地市于每月25日前通过广东省住院医师规范化培训（全科医生培训）信息管理平台上报培训人员名单。</w:t>
      </w:r>
    </w:p>
    <w:p>
      <w:pPr>
        <w:widowControl/>
        <w:spacing w:line="560" w:lineRule="exact"/>
        <w:ind w:firstLine="606" w:firstLineChars="200"/>
        <w:jc w:val="left"/>
        <w:rPr>
          <w:rFonts w:hint="default" w:ascii="Times New Roman" w:hAnsi="Times New Roman" w:eastAsia="仿宋_GB2312" w:cs="Times New Roman"/>
          <w:color w:val="000000"/>
          <w:kern w:val="0"/>
          <w:sz w:val="32"/>
          <w:szCs w:val="32"/>
          <w:highlight w:val="yellow"/>
        </w:rPr>
      </w:pPr>
      <w:r>
        <w:rPr>
          <w:rFonts w:hint="default" w:ascii="Times New Roman" w:hAnsi="Times New Roman" w:eastAsia="仿宋_GB2312" w:cs="Times New Roman"/>
          <w:b/>
          <w:bCs/>
          <w:color w:val="000000"/>
          <w:kern w:val="0"/>
          <w:sz w:val="32"/>
          <w:szCs w:val="32"/>
        </w:rPr>
        <w:t>项目</w:t>
      </w:r>
      <w:r>
        <w:rPr>
          <w:rFonts w:hint="default" w:ascii="Times New Roman" w:hAnsi="Times New Roman" w:eastAsia="仿宋_GB2312" w:cs="Times New Roman"/>
          <w:b/>
          <w:bCs/>
          <w:color w:val="000000"/>
          <w:kern w:val="0"/>
          <w:sz w:val="32"/>
          <w:szCs w:val="32"/>
          <w:lang w:eastAsia="zh-CN"/>
        </w:rPr>
        <w:t>实施</w:t>
      </w:r>
      <w:r>
        <w:rPr>
          <w:rFonts w:hint="default" w:ascii="Times New Roman" w:hAnsi="Times New Roman" w:eastAsia="仿宋_GB2312" w:cs="Times New Roman"/>
          <w:b/>
          <w:bCs/>
          <w:color w:val="000000"/>
          <w:kern w:val="0"/>
          <w:sz w:val="32"/>
          <w:szCs w:val="32"/>
        </w:rPr>
        <w:t>监管工作方面。</w:t>
      </w:r>
      <w:r>
        <w:rPr>
          <w:rFonts w:hint="default" w:ascii="Times New Roman" w:hAnsi="Times New Roman" w:eastAsia="仿宋_GB2312" w:cs="Times New Roman"/>
          <w:color w:val="000000"/>
          <w:kern w:val="0"/>
          <w:sz w:val="32"/>
          <w:szCs w:val="32"/>
        </w:rPr>
        <w:t>先后</w:t>
      </w:r>
      <w:r>
        <w:rPr>
          <w:rFonts w:hint="default" w:ascii="Times New Roman" w:hAnsi="Times New Roman" w:eastAsia="仿宋_GB2312" w:cs="Times New Roman"/>
          <w:color w:val="000000"/>
          <w:kern w:val="0"/>
          <w:sz w:val="32"/>
          <w:szCs w:val="32"/>
          <w:lang w:eastAsia="zh-CN"/>
        </w:rPr>
        <w:t>印发</w:t>
      </w:r>
      <w:r>
        <w:rPr>
          <w:rFonts w:hint="default" w:ascii="Times New Roman" w:hAnsi="Times New Roman" w:eastAsia="仿宋_GB2312" w:cs="Times New Roman"/>
          <w:color w:val="000000"/>
          <w:kern w:val="0"/>
          <w:sz w:val="32"/>
          <w:szCs w:val="32"/>
        </w:rPr>
        <w:t>了《广东省审计厅 广东省卫生计生委关于进一步加强我省基层医疗卫生服务建设能力建设项目管理和审计监督的通知》和</w:t>
      </w:r>
      <w:r>
        <w:rPr>
          <w:rFonts w:hint="default" w:ascii="Times New Roman" w:hAnsi="Times New Roman" w:eastAsia="仿宋_GB2312" w:cs="Times New Roman"/>
          <w:color w:val="000000"/>
          <w:sz w:val="32"/>
          <w:szCs w:val="32"/>
          <w:lang w:bidi="ar"/>
        </w:rPr>
        <w:t>《广东省卫生计生委办公室关于印发《广东省卫生计生委加强基层医疗卫生服务能力建设项目廉政效能监督管理办法》的通知》（粤卫办</w:t>
      </w:r>
      <w:r>
        <w:rPr>
          <w:rFonts w:hint="default" w:ascii="Times New Roman" w:hAnsi="Times New Roman" w:eastAsia="仿宋_GB2312" w:cs="Times New Roman"/>
          <w:color w:val="000000"/>
          <w:kern w:val="0"/>
          <w:sz w:val="32"/>
          <w:szCs w:val="32"/>
          <w:lang w:bidi="ar"/>
        </w:rPr>
        <w:t>〔20</w:t>
      </w:r>
      <w:r>
        <w:rPr>
          <w:rFonts w:hint="default" w:ascii="Times New Roman" w:hAnsi="Times New Roman" w:eastAsia="仿宋_GB2312" w:cs="Times New Roman"/>
          <w:color w:val="000000"/>
          <w:kern w:val="0"/>
          <w:sz w:val="32"/>
          <w:szCs w:val="32"/>
          <w:lang w:val="en-US" w:eastAsia="zh-CN" w:bidi="ar"/>
        </w:rPr>
        <w:t>18</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sz w:val="32"/>
          <w:szCs w:val="32"/>
          <w:lang w:bidi="ar"/>
        </w:rPr>
        <w:t>19号）</w:t>
      </w:r>
      <w:r>
        <w:rPr>
          <w:rFonts w:hint="default" w:ascii="Times New Roman" w:hAnsi="Times New Roman" w:eastAsia="仿宋_GB2312" w:cs="Times New Roman"/>
          <w:color w:val="000000"/>
          <w:sz w:val="32"/>
          <w:szCs w:val="32"/>
          <w:lang w:eastAsia="zh-CN" w:bidi="ar"/>
        </w:rPr>
        <w:t>等监管制度，理顺监管各环节</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sz w:val="32"/>
          <w:szCs w:val="32"/>
          <w:lang w:val="en-US" w:eastAsia="zh-CN"/>
        </w:rPr>
        <w:t>全年委领导结合联系点制度带队调研强基工作共24次，合计向10个地市23个县下发26份督办函，对39个滞后项目进行督办，</w:t>
      </w:r>
      <w:r>
        <w:rPr>
          <w:rFonts w:hint="default" w:ascii="Times New Roman" w:hAnsi="Times New Roman" w:eastAsia="仿宋_GB2312" w:cs="Times New Roman"/>
          <w:snapToGrid w:val="0"/>
          <w:color w:val="000000"/>
          <w:kern w:val="0"/>
          <w:sz w:val="32"/>
          <w:szCs w:val="32"/>
          <w:highlight w:val="none"/>
          <w:lang w:val="en-US" w:eastAsia="zh-CN"/>
        </w:rPr>
        <w:t>督促有关市县政府</w:t>
      </w:r>
      <w:r>
        <w:rPr>
          <w:rFonts w:hint="default" w:ascii="Times New Roman" w:hAnsi="Times New Roman" w:eastAsia="仿宋_GB2312" w:cs="Times New Roman"/>
          <w:color w:val="000000"/>
          <w:sz w:val="32"/>
          <w:szCs w:val="32"/>
          <w:lang w:val="en-US" w:eastAsia="zh-CN"/>
        </w:rPr>
        <w:t>切实履行建设主体责任</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依据评分标准，自评核扣1分。</w:t>
      </w:r>
    </w:p>
    <w:p>
      <w:pPr>
        <w:widowControl/>
        <w:spacing w:line="560" w:lineRule="exact"/>
        <w:ind w:firstLine="606" w:firstLineChars="200"/>
        <w:rPr>
          <w:rFonts w:hint="default" w:ascii="Times New Roman" w:hAnsi="Times New Roman" w:eastAsia="仿宋_GB2312" w:cs="Times New Roman"/>
          <w:b w:val="0"/>
          <w:bCs w:val="0"/>
          <w:color w:val="000000"/>
          <w:sz w:val="32"/>
          <w:szCs w:val="32"/>
          <w:lang w:eastAsia="zh-CN" w:bidi="ar"/>
        </w:rPr>
      </w:pPr>
      <w:r>
        <w:rPr>
          <w:rFonts w:hint="default" w:ascii="Times New Roman" w:hAnsi="Times New Roman" w:eastAsia="楷体_GB2312" w:cs="Times New Roman"/>
          <w:b w:val="0"/>
          <w:bCs w:val="0"/>
          <w:color w:val="000000"/>
          <w:sz w:val="32"/>
          <w:szCs w:val="32"/>
          <w:lang w:bidi="ar"/>
        </w:rPr>
        <w:t>（三）产出</w:t>
      </w:r>
      <w:r>
        <w:rPr>
          <w:rFonts w:hint="default" w:ascii="Times New Roman" w:hAnsi="Times New Roman" w:eastAsia="楷体_GB2312" w:cs="Times New Roman"/>
          <w:b w:val="0"/>
          <w:bCs w:val="0"/>
          <w:color w:val="000000"/>
          <w:sz w:val="32"/>
          <w:szCs w:val="32"/>
          <w:lang w:eastAsia="zh-CN" w:bidi="ar"/>
        </w:rPr>
        <w:t>完成情况分析。</w:t>
      </w:r>
    </w:p>
    <w:p>
      <w:pPr>
        <w:numPr>
          <w:ilvl w:val="0"/>
          <w:numId w:val="0"/>
        </w:numPr>
        <w:autoSpaceDE/>
        <w:autoSpaceDN/>
        <w:snapToGrid w:val="0"/>
        <w:spacing w:line="560" w:lineRule="exact"/>
        <w:ind w:firstLine="606"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b/>
          <w:bCs/>
          <w:color w:val="000000"/>
          <w:sz w:val="32"/>
          <w:szCs w:val="32"/>
          <w:lang w:val="en-US" w:eastAsia="zh-CN" w:bidi="ar"/>
        </w:rPr>
        <w:t>10.</w:t>
      </w:r>
      <w:r>
        <w:rPr>
          <w:rFonts w:hint="default" w:ascii="Times New Roman" w:hAnsi="Times New Roman" w:eastAsia="仿宋_GB2312" w:cs="Times New Roman"/>
          <w:b/>
          <w:bCs/>
          <w:color w:val="000000"/>
          <w:sz w:val="32"/>
          <w:szCs w:val="32"/>
          <w:lang w:bidi="ar"/>
        </w:rPr>
        <w:t>预算控制</w:t>
      </w:r>
      <w:r>
        <w:rPr>
          <w:rFonts w:hint="default" w:ascii="Times New Roman" w:hAnsi="Times New Roman" w:eastAsia="仿宋_GB2312" w:cs="Times New Roman"/>
          <w:b/>
          <w:bCs/>
          <w:color w:val="000000"/>
          <w:sz w:val="32"/>
          <w:szCs w:val="32"/>
          <w:lang w:eastAsia="zh-CN" w:bidi="ar"/>
        </w:rPr>
        <w:t>情况</w:t>
      </w:r>
      <w:r>
        <w:rPr>
          <w:rFonts w:hint="default" w:ascii="Times New Roman" w:hAnsi="Times New Roman" w:eastAsia="仿宋_GB2312" w:cs="Times New Roman"/>
          <w:b/>
          <w:bCs/>
          <w:color w:val="000000"/>
          <w:sz w:val="32"/>
          <w:szCs w:val="32"/>
          <w:lang w:bidi="ar"/>
        </w:rPr>
        <w:t>。</w:t>
      </w:r>
      <w:r>
        <w:rPr>
          <w:rFonts w:hint="default" w:ascii="Times New Roman" w:hAnsi="Times New Roman" w:eastAsia="仿宋_GB2312" w:cs="Times New Roman"/>
          <w:color w:val="000000"/>
          <w:sz w:val="32"/>
          <w:szCs w:val="32"/>
        </w:rPr>
        <w:t>截至2020年3月31日，省财政安排</w:t>
      </w:r>
      <w:r>
        <w:rPr>
          <w:rFonts w:hint="default" w:ascii="Times New Roman" w:hAnsi="Times New Roman" w:eastAsia="仿宋_GB2312" w:cs="Times New Roman"/>
          <w:color w:val="000000"/>
          <w:kern w:val="0"/>
          <w:sz w:val="32"/>
          <w:szCs w:val="32"/>
          <w:lang w:bidi="ar"/>
        </w:rPr>
        <w:t>基层医疗人才队伍和服务能力建设</w:t>
      </w:r>
      <w:r>
        <w:rPr>
          <w:rFonts w:hint="default" w:ascii="Times New Roman" w:hAnsi="Times New Roman" w:eastAsia="仿宋_GB2312" w:cs="Times New Roman"/>
          <w:color w:val="000000"/>
          <w:kern w:val="0"/>
          <w:sz w:val="32"/>
          <w:szCs w:val="32"/>
          <w:lang w:eastAsia="zh-CN" w:bidi="ar"/>
        </w:rPr>
        <w:t>项目</w:t>
      </w:r>
      <w:r>
        <w:rPr>
          <w:rFonts w:hint="default" w:ascii="Times New Roman" w:hAnsi="Times New Roman" w:eastAsia="仿宋_GB2312" w:cs="Times New Roman"/>
          <w:color w:val="000000"/>
          <w:sz w:val="32"/>
          <w:szCs w:val="32"/>
        </w:rPr>
        <w:t>专项资金</w:t>
      </w:r>
      <w:r>
        <w:rPr>
          <w:rFonts w:hint="default" w:ascii="Times New Roman" w:hAnsi="Times New Roman" w:eastAsia="仿宋_GB2312" w:cs="Times New Roman"/>
          <w:color w:val="000000"/>
          <w:kern w:val="0"/>
          <w:sz w:val="32"/>
          <w:szCs w:val="32"/>
          <w:lang w:bidi="ar"/>
        </w:rPr>
        <w:t>43248.65万元</w:t>
      </w:r>
      <w:r>
        <w:rPr>
          <w:rFonts w:hint="default" w:ascii="Times New Roman" w:hAnsi="Times New Roman" w:eastAsia="仿宋_GB2312" w:cs="Times New Roman"/>
          <w:color w:val="000000"/>
          <w:sz w:val="32"/>
          <w:szCs w:val="32"/>
        </w:rPr>
        <w:t>，实际支出</w:t>
      </w:r>
      <w:r>
        <w:rPr>
          <w:rFonts w:hint="default" w:ascii="Times New Roman" w:hAnsi="Times New Roman" w:eastAsia="仿宋_GB2312" w:cs="Times New Roman"/>
          <w:color w:val="000000"/>
          <w:kern w:val="0"/>
          <w:sz w:val="32"/>
          <w:szCs w:val="32"/>
          <w:lang w:bidi="ar"/>
        </w:rPr>
        <w:t>43248.65万元</w:t>
      </w:r>
      <w:r>
        <w:rPr>
          <w:rFonts w:hint="default" w:ascii="Times New Roman" w:hAnsi="Times New Roman" w:eastAsia="仿宋_GB2312" w:cs="Times New Roman"/>
          <w:color w:val="000000"/>
          <w:sz w:val="32"/>
          <w:szCs w:val="32"/>
        </w:rPr>
        <w:t>，财政项目资金支出率为100%。预算执行进度与项目进度相匹配，支出控制在预算范围内，财政资金支出结果没有超预算。</w:t>
      </w:r>
      <w:r>
        <w:rPr>
          <w:rFonts w:hint="default" w:ascii="Times New Roman" w:hAnsi="Times New Roman" w:eastAsia="仿宋_GB2312" w:cs="Times New Roman"/>
          <w:color w:val="000000"/>
          <w:sz w:val="32"/>
          <w:szCs w:val="32"/>
          <w:lang w:bidi="ar"/>
        </w:rPr>
        <w:t>预算执行进度与事项完成进度基本匹配。</w:t>
      </w:r>
      <w:r>
        <w:rPr>
          <w:rFonts w:hint="default" w:ascii="Times New Roman" w:hAnsi="Times New Roman" w:eastAsia="仿宋_GB2312" w:cs="Times New Roman"/>
          <w:color w:val="000000"/>
          <w:kern w:val="0"/>
          <w:sz w:val="32"/>
          <w:szCs w:val="32"/>
          <w:lang w:bidi="ar"/>
        </w:rPr>
        <w:t>指标分值3分，依据评分标准，自评得分3分，得分率100%。</w:t>
      </w:r>
    </w:p>
    <w:p>
      <w:pPr>
        <w:numPr>
          <w:ilvl w:val="0"/>
          <w:numId w:val="0"/>
        </w:numPr>
        <w:autoSpaceDE w:val="0"/>
        <w:autoSpaceDN w:val="0"/>
        <w:spacing w:line="560" w:lineRule="exact"/>
        <w:ind w:firstLine="606"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bidi="ar"/>
        </w:rPr>
        <w:t>11.</w:t>
      </w:r>
      <w:r>
        <w:rPr>
          <w:rFonts w:hint="default" w:ascii="Times New Roman" w:hAnsi="Times New Roman" w:eastAsia="仿宋_GB2312" w:cs="Times New Roman"/>
          <w:b/>
          <w:bCs/>
          <w:color w:val="000000"/>
          <w:sz w:val="32"/>
          <w:szCs w:val="32"/>
          <w:lang w:bidi="ar"/>
        </w:rPr>
        <w:t>成本控制</w:t>
      </w:r>
      <w:r>
        <w:rPr>
          <w:rFonts w:hint="default" w:ascii="Times New Roman" w:hAnsi="Times New Roman" w:eastAsia="仿宋_GB2312" w:cs="Times New Roman"/>
          <w:b/>
          <w:bCs/>
          <w:color w:val="000000"/>
          <w:sz w:val="32"/>
          <w:szCs w:val="32"/>
          <w:lang w:eastAsia="zh-CN" w:bidi="ar"/>
        </w:rPr>
        <w:t>情况</w:t>
      </w:r>
      <w:r>
        <w:rPr>
          <w:rFonts w:hint="default" w:ascii="Times New Roman" w:hAnsi="Times New Roman" w:eastAsia="仿宋_GB2312" w:cs="Times New Roman"/>
          <w:b/>
          <w:bCs/>
          <w:color w:val="000000"/>
          <w:sz w:val="32"/>
          <w:szCs w:val="32"/>
          <w:lang w:bidi="ar"/>
        </w:rPr>
        <w:t>。</w:t>
      </w:r>
      <w:r>
        <w:rPr>
          <w:rFonts w:hint="default" w:ascii="Times New Roman" w:hAnsi="Times New Roman" w:eastAsia="仿宋_GB2312" w:cs="Times New Roman"/>
          <w:color w:val="000000"/>
          <w:sz w:val="32"/>
          <w:szCs w:val="32"/>
          <w:lang w:eastAsia="zh-CN"/>
        </w:rPr>
        <w:t>各项目</w:t>
      </w:r>
      <w:r>
        <w:rPr>
          <w:rFonts w:hint="default" w:ascii="Times New Roman" w:hAnsi="Times New Roman" w:eastAsia="仿宋_GB2312" w:cs="Times New Roman"/>
          <w:color w:val="000000"/>
          <w:sz w:val="32"/>
          <w:szCs w:val="32"/>
        </w:rPr>
        <w:t>实施</w:t>
      </w:r>
      <w:r>
        <w:rPr>
          <w:rFonts w:hint="default" w:ascii="Times New Roman" w:hAnsi="Times New Roman" w:eastAsia="仿宋_GB2312" w:cs="Times New Roman"/>
          <w:color w:val="000000"/>
          <w:sz w:val="32"/>
          <w:szCs w:val="32"/>
          <w:lang w:eastAsia="zh-CN"/>
        </w:rPr>
        <w:t>单位</w:t>
      </w:r>
      <w:r>
        <w:rPr>
          <w:rFonts w:hint="default" w:ascii="Times New Roman" w:hAnsi="Times New Roman" w:eastAsia="仿宋_GB2312" w:cs="Times New Roman"/>
          <w:color w:val="000000"/>
          <w:sz w:val="32"/>
          <w:szCs w:val="32"/>
        </w:rPr>
        <w:t>的采购支出都比较好的执行比价原则，涉及要求政府采购的，都实行公开招投标，手续健全，资料相对完整，成本控制在合理范围之内。</w:t>
      </w:r>
      <w:r>
        <w:rPr>
          <w:rFonts w:hint="default" w:ascii="Times New Roman" w:hAnsi="Times New Roman" w:eastAsia="仿宋_GB2312" w:cs="Times New Roman"/>
          <w:color w:val="000000"/>
          <w:sz w:val="32"/>
          <w:szCs w:val="32"/>
          <w:lang w:bidi="ar"/>
        </w:rPr>
        <w:t>该指标主要评价成本支出合理性。</w:t>
      </w:r>
      <w:r>
        <w:rPr>
          <w:rFonts w:hint="default" w:ascii="Times New Roman" w:hAnsi="Times New Roman" w:eastAsia="仿宋_GB2312" w:cs="Times New Roman"/>
          <w:color w:val="000000"/>
          <w:kern w:val="0"/>
          <w:sz w:val="32"/>
          <w:szCs w:val="32"/>
          <w:lang w:bidi="ar"/>
        </w:rPr>
        <w:t>指标分值2分，依据评分标准，自评得分2分，得分率100%。</w:t>
      </w:r>
    </w:p>
    <w:p>
      <w:pPr>
        <w:numPr>
          <w:ilvl w:val="0"/>
          <w:numId w:val="0"/>
        </w:numPr>
        <w:autoSpaceDE w:val="0"/>
        <w:autoSpaceDN w:val="0"/>
        <w:spacing w:line="560" w:lineRule="exact"/>
        <w:ind w:firstLine="606"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bidi="ar"/>
        </w:rPr>
        <w:t>12.</w:t>
      </w:r>
      <w:r>
        <w:rPr>
          <w:rFonts w:hint="default" w:ascii="Times New Roman" w:hAnsi="Times New Roman" w:eastAsia="仿宋_GB2312" w:cs="Times New Roman"/>
          <w:b/>
          <w:bCs/>
          <w:color w:val="000000"/>
          <w:sz w:val="32"/>
          <w:szCs w:val="32"/>
          <w:lang w:eastAsia="zh-CN" w:bidi="ar"/>
        </w:rPr>
        <w:t>项目</w:t>
      </w:r>
      <w:r>
        <w:rPr>
          <w:rFonts w:hint="default" w:ascii="Times New Roman" w:hAnsi="Times New Roman" w:eastAsia="仿宋_GB2312" w:cs="Times New Roman"/>
          <w:b/>
          <w:bCs/>
          <w:color w:val="000000"/>
          <w:sz w:val="32"/>
          <w:szCs w:val="32"/>
          <w:lang w:bidi="ar"/>
        </w:rPr>
        <w:t>完成进度和质量</w:t>
      </w:r>
      <w:r>
        <w:rPr>
          <w:rFonts w:hint="default" w:ascii="Times New Roman" w:hAnsi="Times New Roman" w:eastAsia="仿宋_GB2312" w:cs="Times New Roman"/>
          <w:b/>
          <w:bCs/>
          <w:color w:val="000000"/>
          <w:sz w:val="32"/>
          <w:szCs w:val="32"/>
          <w:lang w:eastAsia="zh-CN" w:bidi="ar"/>
        </w:rPr>
        <w:t>情况</w:t>
      </w:r>
      <w:r>
        <w:rPr>
          <w:rFonts w:hint="default" w:ascii="Times New Roman" w:hAnsi="Times New Roman" w:eastAsia="仿宋_GB2312" w:cs="Times New Roman"/>
          <w:b/>
          <w:bCs/>
          <w:color w:val="000000"/>
          <w:sz w:val="32"/>
          <w:szCs w:val="32"/>
          <w:lang w:bidi="ar"/>
        </w:rPr>
        <w:t>。</w:t>
      </w:r>
      <w:r>
        <w:rPr>
          <w:rFonts w:hint="default" w:ascii="Times New Roman" w:hAnsi="Times New Roman" w:eastAsia="仿宋_GB2312" w:cs="Times New Roman"/>
          <w:color w:val="000000"/>
          <w:kern w:val="0"/>
          <w:sz w:val="32"/>
          <w:szCs w:val="32"/>
          <w:lang w:bidi="ar"/>
        </w:rPr>
        <w:t>指标分值25分，按预期目标或计划完成相应进度、质量和产出数量</w:t>
      </w:r>
      <w:r>
        <w:rPr>
          <w:rFonts w:hint="default" w:ascii="Times New Roman" w:hAnsi="Times New Roman" w:eastAsia="仿宋_GB2312" w:cs="Times New Roman"/>
          <w:color w:val="000000"/>
          <w:kern w:val="0"/>
          <w:sz w:val="32"/>
          <w:szCs w:val="32"/>
          <w:lang w:eastAsia="zh-CN" w:bidi="ar"/>
        </w:rPr>
        <w:t>情况，此项</w:t>
      </w:r>
      <w:r>
        <w:rPr>
          <w:rFonts w:hint="default" w:ascii="Times New Roman" w:hAnsi="Times New Roman" w:eastAsia="仿宋_GB2312" w:cs="Times New Roman"/>
          <w:color w:val="000000"/>
          <w:kern w:val="0"/>
          <w:sz w:val="32"/>
          <w:szCs w:val="32"/>
          <w:lang w:bidi="ar"/>
        </w:rPr>
        <w:t>自评得分25分，得分率100%。</w:t>
      </w:r>
      <w:r>
        <w:rPr>
          <w:rFonts w:hint="default" w:ascii="Times New Roman" w:hAnsi="Times New Roman" w:eastAsia="仿宋_GB2312" w:cs="Times New Roman"/>
          <w:color w:val="000000"/>
          <w:kern w:val="0"/>
          <w:sz w:val="32"/>
          <w:szCs w:val="32"/>
          <w:lang w:eastAsia="zh-CN" w:bidi="ar"/>
        </w:rPr>
        <w:t>具体情况如下：</w:t>
      </w:r>
    </w:p>
    <w:p>
      <w:pPr>
        <w:widowControl w:val="0"/>
        <w:spacing w:line="560" w:lineRule="exact"/>
        <w:ind w:firstLine="606" w:firstLineChars="200"/>
        <w:jc w:val="both"/>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val="0"/>
          <w:bCs w:val="0"/>
          <w:color w:val="000000"/>
          <w:sz w:val="32"/>
          <w:szCs w:val="32"/>
          <w:lang w:eastAsia="zh-CN"/>
        </w:rPr>
        <w:t>按年度专项资金绩效评价产出数量指标全部完成：</w:t>
      </w:r>
      <w:r>
        <w:rPr>
          <w:rFonts w:hint="default" w:ascii="Times New Roman" w:hAnsi="Times New Roman" w:eastAsia="仿宋_GB2312" w:cs="Times New Roman"/>
          <w:b/>
          <w:bCs/>
          <w:color w:val="000000"/>
          <w:sz w:val="32"/>
          <w:szCs w:val="32"/>
          <w:lang w:eastAsia="zh-CN"/>
        </w:rPr>
        <w:t>一是</w:t>
      </w:r>
      <w:r>
        <w:rPr>
          <w:rFonts w:hint="default" w:ascii="Times New Roman" w:hAnsi="Times New Roman" w:eastAsia="仿宋_GB2312" w:cs="Times New Roman"/>
          <w:b/>
          <w:bCs/>
          <w:color w:val="000000"/>
          <w:kern w:val="2"/>
          <w:sz w:val="32"/>
          <w:szCs w:val="32"/>
          <w:lang w:eastAsia="zh-CN" w:bidi="ar"/>
        </w:rPr>
        <w:t>年度</w:t>
      </w:r>
      <w:r>
        <w:rPr>
          <w:rFonts w:hint="default" w:ascii="Times New Roman" w:hAnsi="Times New Roman" w:eastAsia="仿宋_GB2312" w:cs="Times New Roman"/>
          <w:b/>
          <w:bCs/>
          <w:color w:val="000000"/>
          <w:sz w:val="32"/>
          <w:szCs w:val="32"/>
        </w:rPr>
        <w:t>首</w:t>
      </w:r>
      <w:r>
        <w:rPr>
          <w:rFonts w:hint="default" w:ascii="Times New Roman" w:hAnsi="Times New Roman" w:eastAsia="仿宋_GB2312" w:cs="Times New Roman"/>
          <w:b w:val="0"/>
          <w:bCs w:val="0"/>
          <w:color w:val="000000"/>
          <w:sz w:val="32"/>
          <w:szCs w:val="32"/>
        </w:rPr>
        <w:t>席专家</w:t>
      </w:r>
      <w:r>
        <w:rPr>
          <w:rFonts w:hint="default" w:ascii="Times New Roman" w:hAnsi="Times New Roman" w:eastAsia="仿宋_GB2312" w:cs="Times New Roman"/>
          <w:b w:val="0"/>
          <w:bCs w:val="0"/>
          <w:color w:val="000000"/>
          <w:kern w:val="2"/>
          <w:sz w:val="32"/>
          <w:szCs w:val="32"/>
          <w:lang w:eastAsia="zh-CN" w:bidi="ar"/>
        </w:rPr>
        <w:t>省级财政资金</w:t>
      </w:r>
      <w:r>
        <w:rPr>
          <w:rFonts w:hint="default" w:ascii="Times New Roman" w:hAnsi="Times New Roman" w:eastAsia="仿宋_GB2312" w:cs="Times New Roman"/>
          <w:b w:val="0"/>
          <w:bCs w:val="0"/>
          <w:color w:val="000000"/>
          <w:sz w:val="32"/>
          <w:szCs w:val="32"/>
        </w:rPr>
        <w:t>拨付率</w:t>
      </w:r>
      <w:r>
        <w:rPr>
          <w:rFonts w:hint="default" w:ascii="Times New Roman" w:hAnsi="Times New Roman" w:eastAsia="仿宋_GB2312" w:cs="Times New Roman"/>
          <w:b w:val="0"/>
          <w:bCs w:val="0"/>
          <w:color w:val="000000"/>
          <w:kern w:val="2"/>
          <w:sz w:val="32"/>
          <w:szCs w:val="32"/>
          <w:lang w:bidi="ar"/>
        </w:rPr>
        <w:t>100%</w:t>
      </w:r>
      <w:r>
        <w:rPr>
          <w:rFonts w:hint="default" w:ascii="Times New Roman" w:hAnsi="Times New Roman" w:eastAsia="仿宋_GB2312" w:cs="Times New Roman"/>
          <w:b w:val="0"/>
          <w:bCs w:val="0"/>
          <w:color w:val="000000"/>
          <w:kern w:val="2"/>
          <w:sz w:val="32"/>
          <w:szCs w:val="32"/>
          <w:lang w:eastAsia="zh-CN" w:bidi="ar"/>
        </w:rPr>
        <w:t>。</w:t>
      </w:r>
      <w:r>
        <w:rPr>
          <w:rFonts w:hint="default" w:ascii="Times New Roman" w:hAnsi="Times New Roman" w:eastAsia="仿宋_GB2312" w:cs="Times New Roman"/>
          <w:color w:val="000000"/>
          <w:kern w:val="0"/>
          <w:sz w:val="32"/>
          <w:szCs w:val="32"/>
          <w:lang w:val="en-US" w:eastAsia="zh-CN" w:bidi="ar"/>
        </w:rPr>
        <w:t>2019年，</w:t>
      </w:r>
      <w:r>
        <w:rPr>
          <w:rFonts w:hint="default" w:ascii="Times New Roman" w:hAnsi="Times New Roman" w:eastAsia="仿宋_GB2312" w:cs="Times New Roman"/>
          <w:color w:val="000000"/>
          <w:sz w:val="32"/>
          <w:szCs w:val="32"/>
        </w:rPr>
        <w:t>百名首席专家下基层计划补助资金</w:t>
      </w:r>
      <w:r>
        <w:rPr>
          <w:rFonts w:hint="default" w:ascii="Times New Roman" w:hAnsi="Times New Roman" w:eastAsia="仿宋_GB2312" w:cs="Times New Roman"/>
          <w:color w:val="000000"/>
          <w:kern w:val="0"/>
          <w:sz w:val="32"/>
          <w:szCs w:val="32"/>
          <w:lang w:bidi="ar"/>
        </w:rPr>
        <w:t>2000.00万元，</w:t>
      </w:r>
      <w:r>
        <w:rPr>
          <w:rFonts w:hint="default" w:ascii="Times New Roman" w:hAnsi="Times New Roman" w:eastAsia="仿宋_GB2312" w:cs="Times New Roman"/>
          <w:color w:val="000000"/>
          <w:sz w:val="32"/>
          <w:szCs w:val="32"/>
        </w:rPr>
        <w:t>省级财政实际拨付到位资金</w:t>
      </w:r>
      <w:r>
        <w:rPr>
          <w:rFonts w:hint="default" w:ascii="Times New Roman" w:hAnsi="Times New Roman" w:eastAsia="仿宋_GB2312" w:cs="Times New Roman"/>
          <w:color w:val="000000"/>
          <w:kern w:val="0"/>
          <w:sz w:val="32"/>
          <w:szCs w:val="32"/>
          <w:lang w:bidi="ar"/>
        </w:rPr>
        <w:t>2000.00万元，</w:t>
      </w:r>
      <w:r>
        <w:rPr>
          <w:rFonts w:hint="default" w:ascii="Times New Roman" w:hAnsi="Times New Roman" w:eastAsia="仿宋_GB2312" w:cs="Times New Roman"/>
          <w:color w:val="000000"/>
          <w:kern w:val="0"/>
          <w:sz w:val="32"/>
          <w:szCs w:val="32"/>
          <w:lang w:eastAsia="zh-CN" w:bidi="ar"/>
        </w:rPr>
        <w:t>资金</w:t>
      </w:r>
      <w:r>
        <w:rPr>
          <w:rFonts w:hint="default" w:ascii="Times New Roman" w:hAnsi="Times New Roman" w:eastAsia="仿宋_GB2312" w:cs="Times New Roman"/>
          <w:color w:val="000000"/>
          <w:sz w:val="32"/>
          <w:szCs w:val="32"/>
        </w:rPr>
        <w:t>拨付率</w:t>
      </w:r>
      <w:r>
        <w:rPr>
          <w:rFonts w:hint="default" w:ascii="Times New Roman" w:hAnsi="Times New Roman" w:eastAsia="仿宋_GB2312" w:cs="Times New Roman"/>
          <w:color w:val="000000"/>
          <w:kern w:val="0"/>
          <w:sz w:val="32"/>
          <w:szCs w:val="32"/>
          <w:lang w:bidi="ar"/>
        </w:rPr>
        <w:t>100%。</w:t>
      </w:r>
      <w:r>
        <w:rPr>
          <w:rFonts w:hint="default" w:ascii="Times New Roman" w:hAnsi="Times New Roman" w:eastAsia="仿宋_GB2312" w:cs="Times New Roman"/>
          <w:b/>
          <w:bCs/>
          <w:color w:val="000000"/>
          <w:kern w:val="0"/>
          <w:sz w:val="32"/>
          <w:szCs w:val="32"/>
          <w:lang w:eastAsia="zh-CN" w:bidi="ar"/>
        </w:rPr>
        <w:t>二是</w:t>
      </w:r>
      <w:r>
        <w:rPr>
          <w:rFonts w:hint="default" w:ascii="Times New Roman" w:hAnsi="Times New Roman" w:eastAsia="仿宋_GB2312" w:cs="Times New Roman"/>
          <w:b/>
          <w:bCs/>
          <w:color w:val="000000"/>
          <w:sz w:val="32"/>
          <w:szCs w:val="32"/>
        </w:rPr>
        <w:t>高校毕业生下基层省级财政</w:t>
      </w:r>
      <w:r>
        <w:rPr>
          <w:rFonts w:hint="default" w:ascii="Times New Roman" w:hAnsi="Times New Roman" w:eastAsia="仿宋_GB2312" w:cs="Times New Roman"/>
          <w:b/>
          <w:bCs/>
          <w:color w:val="000000"/>
          <w:sz w:val="32"/>
          <w:szCs w:val="32"/>
          <w:lang w:eastAsia="zh-CN"/>
        </w:rPr>
        <w:t>资金</w:t>
      </w:r>
      <w:r>
        <w:rPr>
          <w:rFonts w:hint="default" w:ascii="Times New Roman" w:hAnsi="Times New Roman" w:eastAsia="仿宋_GB2312" w:cs="Times New Roman"/>
          <w:b/>
          <w:bCs/>
          <w:color w:val="000000"/>
          <w:sz w:val="32"/>
          <w:szCs w:val="32"/>
        </w:rPr>
        <w:t>拨付率100%。</w:t>
      </w:r>
      <w:r>
        <w:rPr>
          <w:rFonts w:hint="default" w:ascii="Times New Roman" w:hAnsi="Times New Roman" w:eastAsia="仿宋_GB2312" w:cs="Times New Roman"/>
          <w:color w:val="000000"/>
          <w:sz w:val="32"/>
          <w:szCs w:val="32"/>
          <w:lang w:val="en-US" w:eastAsia="zh-CN"/>
        </w:rPr>
        <w:t>2019年，</w:t>
      </w:r>
      <w:r>
        <w:rPr>
          <w:rFonts w:hint="default" w:ascii="Times New Roman" w:hAnsi="Times New Roman" w:eastAsia="仿宋_GB2312" w:cs="Times New Roman"/>
          <w:color w:val="000000"/>
          <w:sz w:val="32"/>
          <w:szCs w:val="32"/>
        </w:rPr>
        <w:t>千名高校毕业生下基层计划补助资金</w:t>
      </w:r>
      <w:r>
        <w:rPr>
          <w:rFonts w:hint="default" w:ascii="Times New Roman" w:hAnsi="Times New Roman" w:eastAsia="仿宋_GB2312" w:cs="Times New Roman"/>
          <w:color w:val="000000"/>
          <w:kern w:val="0"/>
          <w:sz w:val="32"/>
          <w:szCs w:val="32"/>
          <w:lang w:bidi="ar"/>
        </w:rPr>
        <w:t>850.00万元，</w:t>
      </w:r>
      <w:r>
        <w:rPr>
          <w:rFonts w:hint="default" w:ascii="Times New Roman" w:hAnsi="Times New Roman" w:eastAsia="仿宋_GB2312" w:cs="Times New Roman"/>
          <w:color w:val="000000"/>
          <w:sz w:val="32"/>
          <w:szCs w:val="32"/>
        </w:rPr>
        <w:t>省级财政实际拨付到位资金</w:t>
      </w:r>
      <w:r>
        <w:rPr>
          <w:rFonts w:hint="default" w:ascii="Times New Roman" w:hAnsi="Times New Roman" w:eastAsia="仿宋_GB2312" w:cs="Times New Roman"/>
          <w:color w:val="000000"/>
          <w:kern w:val="0"/>
          <w:sz w:val="32"/>
          <w:szCs w:val="32"/>
          <w:lang w:bidi="ar"/>
        </w:rPr>
        <w:t>850.00万元，</w:t>
      </w:r>
      <w:r>
        <w:rPr>
          <w:rFonts w:hint="default" w:ascii="Times New Roman" w:hAnsi="Times New Roman" w:eastAsia="仿宋_GB2312" w:cs="Times New Roman"/>
          <w:b w:val="0"/>
          <w:bCs w:val="0"/>
          <w:color w:val="000000"/>
          <w:sz w:val="32"/>
          <w:szCs w:val="32"/>
          <w:lang w:eastAsia="zh-CN"/>
        </w:rPr>
        <w:t>资金</w:t>
      </w:r>
      <w:r>
        <w:rPr>
          <w:rFonts w:hint="default" w:ascii="Times New Roman" w:hAnsi="Times New Roman" w:eastAsia="仿宋_GB2312" w:cs="Times New Roman"/>
          <w:color w:val="000000"/>
          <w:sz w:val="32"/>
          <w:szCs w:val="32"/>
        </w:rPr>
        <w:t>拨付率100%。</w:t>
      </w:r>
      <w:r>
        <w:rPr>
          <w:rFonts w:hint="default" w:ascii="Times New Roman" w:hAnsi="Times New Roman" w:eastAsia="仿宋_GB2312" w:cs="Times New Roman"/>
          <w:b/>
          <w:bCs/>
          <w:color w:val="000000"/>
          <w:sz w:val="32"/>
          <w:szCs w:val="32"/>
          <w:lang w:eastAsia="zh-CN"/>
        </w:rPr>
        <w:t>三是</w:t>
      </w:r>
      <w:r>
        <w:rPr>
          <w:rFonts w:hint="default" w:ascii="Times New Roman" w:hAnsi="Times New Roman" w:eastAsia="仿宋_GB2312" w:cs="Times New Roman"/>
          <w:b/>
          <w:bCs/>
          <w:color w:val="000000"/>
          <w:sz w:val="32"/>
          <w:szCs w:val="32"/>
        </w:rPr>
        <w:t>专科特设岗位专家招聘</w:t>
      </w:r>
      <w:r>
        <w:rPr>
          <w:rFonts w:hint="default" w:ascii="Times New Roman" w:hAnsi="Times New Roman" w:eastAsia="仿宋_GB2312" w:cs="Times New Roman"/>
          <w:b/>
          <w:bCs/>
          <w:color w:val="000000"/>
          <w:kern w:val="2"/>
          <w:sz w:val="32"/>
          <w:szCs w:val="32"/>
          <w:lang w:bidi="ar"/>
        </w:rPr>
        <w:t>到位率100%。</w:t>
      </w:r>
      <w:r>
        <w:rPr>
          <w:rFonts w:hint="default" w:ascii="Times New Roman" w:hAnsi="Times New Roman" w:eastAsia="仿宋_GB2312" w:cs="Times New Roman"/>
          <w:color w:val="000000"/>
          <w:kern w:val="0"/>
          <w:sz w:val="32"/>
          <w:szCs w:val="32"/>
          <w:lang w:val="en-US" w:eastAsia="zh-CN" w:bidi="ar"/>
        </w:rPr>
        <w:t>2019年，</w:t>
      </w:r>
      <w:r>
        <w:rPr>
          <w:rFonts w:hint="default" w:ascii="Times New Roman" w:hAnsi="Times New Roman" w:eastAsia="仿宋_GB2312" w:cs="Times New Roman"/>
          <w:color w:val="000000"/>
          <w:kern w:val="0"/>
          <w:sz w:val="32"/>
          <w:szCs w:val="32"/>
          <w:lang w:bidi="ar"/>
        </w:rPr>
        <w:t>专家特岗计划招聘300名，实际招聘并到位的特设岗位300名（其中中央苏区县和少数民族县</w:t>
      </w:r>
      <w:r>
        <w:rPr>
          <w:rFonts w:hint="default" w:ascii="Times New Roman" w:hAnsi="Times New Roman" w:eastAsia="仿宋_GB2312" w:cs="Times New Roman"/>
          <w:color w:val="000000"/>
          <w:sz w:val="32"/>
          <w:szCs w:val="32"/>
        </w:rPr>
        <w:t>80名，</w:t>
      </w:r>
      <w:r>
        <w:rPr>
          <w:rFonts w:hint="default" w:ascii="Times New Roman" w:hAnsi="Times New Roman" w:eastAsia="仿宋_GB2312" w:cs="Times New Roman"/>
          <w:color w:val="000000"/>
          <w:kern w:val="0"/>
          <w:sz w:val="32"/>
          <w:szCs w:val="32"/>
          <w:lang w:bidi="ar"/>
        </w:rPr>
        <w:t>其他地区</w:t>
      </w:r>
      <w:r>
        <w:rPr>
          <w:rFonts w:hint="default" w:ascii="Times New Roman" w:hAnsi="Times New Roman" w:eastAsia="仿宋_GB2312" w:cs="Times New Roman"/>
          <w:color w:val="000000"/>
          <w:sz w:val="32"/>
          <w:szCs w:val="32"/>
        </w:rPr>
        <w:t>220名</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val="0"/>
          <w:bCs w:val="0"/>
          <w:color w:val="000000"/>
          <w:sz w:val="32"/>
          <w:szCs w:val="32"/>
        </w:rPr>
        <w:t>招聘</w:t>
      </w:r>
      <w:r>
        <w:rPr>
          <w:rFonts w:hint="default" w:ascii="Times New Roman" w:hAnsi="Times New Roman" w:eastAsia="仿宋_GB2312" w:cs="Times New Roman"/>
          <w:color w:val="000000"/>
          <w:kern w:val="0"/>
          <w:sz w:val="32"/>
          <w:szCs w:val="32"/>
          <w:lang w:bidi="ar"/>
        </w:rPr>
        <w:t>到位率100%。</w:t>
      </w:r>
      <w:r>
        <w:rPr>
          <w:rFonts w:hint="default" w:ascii="Times New Roman" w:hAnsi="Times New Roman" w:eastAsia="仿宋_GB2312" w:cs="Times New Roman"/>
          <w:b/>
          <w:bCs/>
          <w:color w:val="000000"/>
          <w:kern w:val="0"/>
          <w:sz w:val="32"/>
          <w:szCs w:val="32"/>
          <w:lang w:eastAsia="zh-CN" w:bidi="ar"/>
        </w:rPr>
        <w:t>四是</w:t>
      </w:r>
      <w:r>
        <w:rPr>
          <w:rFonts w:hint="default" w:ascii="Times New Roman" w:hAnsi="Times New Roman" w:eastAsia="仿宋_GB2312" w:cs="Times New Roman"/>
          <w:b/>
          <w:bCs/>
          <w:color w:val="000000"/>
          <w:sz w:val="32"/>
          <w:szCs w:val="32"/>
        </w:rPr>
        <w:t>招收订单定向培养医学生招生率105.28%</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000000"/>
          <w:sz w:val="32"/>
          <w:szCs w:val="32"/>
        </w:rPr>
        <w:t>会同省教育厅等四部门联合印发了《广东省卫生健康委等四部门关于做好2019年订单定向培养农村卫生人才工作的通知》（粤卫函〔2019〕750号），扩大招收订单定向培养医学生规模到1400名，定点培养院校增加汕头大学医学院，总共8家。全年实际招收订单定向培养医学大学生1474名，招生率105.28%，超额完成</w:t>
      </w:r>
      <w:r>
        <w:rPr>
          <w:rFonts w:hint="default" w:ascii="Times New Roman" w:hAnsi="Times New Roman" w:eastAsia="仿宋_GB2312" w:cs="Times New Roman"/>
          <w:color w:val="000000"/>
          <w:kern w:val="0"/>
          <w:sz w:val="32"/>
          <w:szCs w:val="32"/>
          <w:lang w:bidi="ar"/>
        </w:rPr>
        <w:t>粤财社〔2019〕42号</w:t>
      </w:r>
      <w:r>
        <w:rPr>
          <w:rFonts w:hint="default" w:ascii="Times New Roman" w:hAnsi="Times New Roman" w:eastAsia="仿宋_GB2312" w:cs="Times New Roman"/>
          <w:color w:val="000000"/>
          <w:sz w:val="32"/>
          <w:szCs w:val="32"/>
          <w:lang w:eastAsia="zh-CN"/>
        </w:rPr>
        <w:t>文</w:t>
      </w:r>
      <w:r>
        <w:rPr>
          <w:rFonts w:hint="default" w:ascii="Times New Roman" w:hAnsi="Times New Roman" w:eastAsia="仿宋_GB2312" w:cs="Times New Roman"/>
          <w:color w:val="000000"/>
          <w:sz w:val="32"/>
          <w:szCs w:val="32"/>
        </w:rPr>
        <w:t>设定的招生完成率80%的数量指标。</w:t>
      </w:r>
      <w:r>
        <w:rPr>
          <w:rFonts w:hint="default" w:ascii="Times New Roman" w:hAnsi="Times New Roman" w:eastAsia="仿宋_GB2312" w:cs="Times New Roman"/>
          <w:b/>
          <w:bCs/>
          <w:color w:val="000000"/>
          <w:kern w:val="0"/>
          <w:sz w:val="32"/>
          <w:szCs w:val="32"/>
          <w:lang w:eastAsia="zh-CN" w:bidi="ar"/>
        </w:rPr>
        <w:t>五是招生率超过年初设定目标。</w:t>
      </w:r>
      <w:r>
        <w:rPr>
          <w:rFonts w:hint="default" w:ascii="Times New Roman" w:hAnsi="Times New Roman" w:eastAsia="仿宋_GB2312" w:cs="Times New Roman"/>
          <w:color w:val="000000"/>
          <w:sz w:val="32"/>
          <w:szCs w:val="32"/>
        </w:rPr>
        <w:t>全年计划招生11554名，实际完成合计1</w:t>
      </w:r>
      <w:r>
        <w:rPr>
          <w:rFonts w:hint="eastAsia" w:ascii="Times New Roman" w:hAnsi="Times New Roman" w:eastAsia="仿宋_GB2312" w:cs="Times New Roman"/>
          <w:color w:val="000000"/>
          <w:sz w:val="32"/>
          <w:szCs w:val="32"/>
          <w:lang w:val="en-US" w:eastAsia="zh-CN"/>
        </w:rPr>
        <w:t>3655</w:t>
      </w:r>
      <w:r>
        <w:rPr>
          <w:rFonts w:hint="default" w:ascii="Times New Roman" w:hAnsi="Times New Roman" w:eastAsia="仿宋_GB2312" w:cs="Times New Roman"/>
          <w:color w:val="000000"/>
          <w:sz w:val="32"/>
          <w:szCs w:val="32"/>
        </w:rPr>
        <w:t>名，招生率11</w:t>
      </w:r>
      <w:r>
        <w:rPr>
          <w:rFonts w:hint="eastAsia"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18</w:t>
      </w:r>
      <w:r>
        <w:rPr>
          <w:rFonts w:hint="default" w:ascii="Times New Roman" w:hAnsi="Times New Roman" w:eastAsia="仿宋_GB2312" w:cs="Times New Roman"/>
          <w:color w:val="000000"/>
          <w:sz w:val="32"/>
          <w:szCs w:val="32"/>
        </w:rPr>
        <w:t>%，超额完成</w:t>
      </w:r>
      <w:r>
        <w:rPr>
          <w:rFonts w:hint="default" w:ascii="Times New Roman" w:hAnsi="Times New Roman" w:eastAsia="仿宋_GB2312" w:cs="Times New Roman"/>
          <w:color w:val="000000"/>
          <w:kern w:val="0"/>
          <w:sz w:val="32"/>
          <w:szCs w:val="32"/>
          <w:lang w:bidi="ar"/>
        </w:rPr>
        <w:t>粤财社〔2019〕42号</w:t>
      </w:r>
      <w:r>
        <w:rPr>
          <w:rFonts w:hint="default" w:ascii="Times New Roman" w:hAnsi="Times New Roman" w:eastAsia="仿宋_GB2312" w:cs="Times New Roman"/>
          <w:color w:val="000000"/>
          <w:kern w:val="0"/>
          <w:sz w:val="32"/>
          <w:szCs w:val="32"/>
          <w:lang w:eastAsia="zh-CN" w:bidi="ar"/>
        </w:rPr>
        <w:t>文</w:t>
      </w:r>
      <w:r>
        <w:rPr>
          <w:rFonts w:hint="default" w:ascii="Times New Roman" w:hAnsi="Times New Roman" w:eastAsia="仿宋_GB2312" w:cs="Times New Roman"/>
          <w:color w:val="000000"/>
          <w:sz w:val="32"/>
          <w:szCs w:val="32"/>
        </w:rPr>
        <w:t>设定的招生完成率80%的预期值。其中：培训全科医生计划数5581（其中，5+3学员180名，助理全科医生900名，转岗培训2251名，岗位培训2250名，助理全科医生带教师资1000名）名，实际培训6749人，招生率120.93%。培训住院医师规范化对象（社会人学员）计划数3340名，实际培训4</w:t>
      </w: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0名，招生率1</w:t>
      </w:r>
      <w:r>
        <w:rPr>
          <w:rFonts w:hint="default" w:ascii="Times New Roman" w:hAnsi="Times New Roman" w:eastAsia="仿宋_GB2312" w:cs="Times New Roman"/>
          <w:color w:val="000000"/>
          <w:sz w:val="32"/>
          <w:szCs w:val="32"/>
          <w:lang w:val="en-US" w:eastAsia="zh-CN"/>
        </w:rPr>
        <w:t>22.75</w:t>
      </w:r>
      <w:r>
        <w:rPr>
          <w:rFonts w:hint="default" w:ascii="Times New Roman" w:hAnsi="Times New Roman" w:eastAsia="仿宋_GB2312" w:cs="Times New Roman"/>
          <w:color w:val="000000"/>
          <w:sz w:val="32"/>
          <w:szCs w:val="32"/>
        </w:rPr>
        <w:t>%。培训住院骨干师资计划数1000名，实际培训1000名，招生率100%。培训转岗产科医生（含助产士）计划数1033名，实际完成1158名，招生率112.10%。儿科医生培训计划数360名，实际培训376名，招生率104.44%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家庭医生签约服务骨干师资培训计划数240名，实际完成</w:t>
      </w:r>
      <w:r>
        <w:rPr>
          <w:rFonts w:hint="default" w:ascii="Times New Roman" w:hAnsi="Times New Roman" w:eastAsia="仿宋_GB2312" w:cs="Times New Roman"/>
          <w:color w:val="000000"/>
          <w:sz w:val="32"/>
          <w:szCs w:val="32"/>
          <w:lang w:val="en-US" w:eastAsia="zh-CN"/>
        </w:rPr>
        <w:t>272</w:t>
      </w:r>
      <w:r>
        <w:rPr>
          <w:rFonts w:hint="default" w:ascii="Times New Roman" w:hAnsi="Times New Roman" w:eastAsia="仿宋_GB2312" w:cs="Times New Roman"/>
          <w:color w:val="000000"/>
          <w:sz w:val="32"/>
          <w:szCs w:val="32"/>
        </w:rPr>
        <w:t>名，招生率1</w:t>
      </w:r>
      <w:r>
        <w:rPr>
          <w:rFonts w:hint="default" w:ascii="Times New Roman" w:hAnsi="Times New Roman" w:eastAsia="仿宋_GB2312" w:cs="Times New Roman"/>
          <w:color w:val="000000"/>
          <w:sz w:val="32"/>
          <w:szCs w:val="32"/>
          <w:lang w:val="en-US" w:eastAsia="zh-CN"/>
        </w:rPr>
        <w:t>13.33</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bCs/>
          <w:color w:val="000000"/>
          <w:sz w:val="32"/>
          <w:szCs w:val="32"/>
          <w:lang w:eastAsia="zh-CN"/>
        </w:rPr>
        <w:t>六是</w:t>
      </w:r>
      <w:r>
        <w:rPr>
          <w:rFonts w:hint="default" w:ascii="Times New Roman" w:hAnsi="Times New Roman" w:eastAsia="仿宋_GB2312" w:cs="Times New Roman"/>
          <w:b/>
          <w:bCs/>
          <w:color w:val="000000"/>
          <w:sz w:val="32"/>
          <w:szCs w:val="32"/>
        </w:rPr>
        <w:t>设备交付率</w:t>
      </w:r>
      <w:r>
        <w:rPr>
          <w:rFonts w:hint="default" w:ascii="Times New Roman" w:hAnsi="Times New Roman" w:eastAsia="仿宋_GB2312" w:cs="Times New Roman"/>
          <w:b/>
          <w:bCs/>
          <w:color w:val="000000"/>
          <w:kern w:val="0"/>
          <w:sz w:val="32"/>
          <w:szCs w:val="32"/>
          <w:lang w:bidi="ar"/>
        </w:rPr>
        <w:t>达到100%。</w:t>
      </w:r>
      <w:r>
        <w:rPr>
          <w:rFonts w:hint="default" w:ascii="Times New Roman" w:hAnsi="Times New Roman" w:eastAsia="仿宋_GB2312" w:cs="Times New Roman"/>
          <w:color w:val="000000"/>
          <w:sz w:val="32"/>
          <w:szCs w:val="32"/>
        </w:rPr>
        <w:t>2019年，为2277条</w:t>
      </w:r>
      <w:r>
        <w:rPr>
          <w:rFonts w:hint="default" w:ascii="Times New Roman" w:hAnsi="Times New Roman" w:eastAsia="仿宋_GB2312" w:cs="Times New Roman"/>
          <w:color w:val="000000"/>
          <w:sz w:val="32"/>
          <w:szCs w:val="32"/>
          <w:lang w:eastAsia="zh-CN"/>
        </w:rPr>
        <w:t>省定</w:t>
      </w:r>
      <w:r>
        <w:rPr>
          <w:rFonts w:hint="default" w:ascii="Times New Roman" w:hAnsi="Times New Roman" w:eastAsia="仿宋_GB2312" w:cs="Times New Roman"/>
          <w:color w:val="000000"/>
          <w:sz w:val="32"/>
          <w:szCs w:val="32"/>
        </w:rPr>
        <w:t>贫困村</w:t>
      </w:r>
      <w:r>
        <w:rPr>
          <w:rFonts w:hint="default" w:ascii="Times New Roman" w:hAnsi="Times New Roman" w:eastAsia="仿宋_GB2312" w:cs="Times New Roman"/>
          <w:color w:val="000000"/>
          <w:kern w:val="0"/>
          <w:sz w:val="32"/>
          <w:szCs w:val="32"/>
          <w:lang w:bidi="ar"/>
        </w:rPr>
        <w:t>配备的血压计、血常规检测仪、</w:t>
      </w:r>
      <w:r>
        <w:rPr>
          <w:rFonts w:hint="default" w:ascii="Times New Roman" w:hAnsi="Times New Roman" w:eastAsia="仿宋_GB2312" w:cs="Times New Roman"/>
          <w:color w:val="000000"/>
          <w:kern w:val="0"/>
          <w:sz w:val="32"/>
          <w:szCs w:val="32"/>
          <w:lang w:eastAsia="zh-CN" w:bidi="ar"/>
        </w:rPr>
        <w:t>电子</w:t>
      </w:r>
      <w:r>
        <w:rPr>
          <w:rFonts w:hint="default" w:ascii="Times New Roman" w:hAnsi="Times New Roman" w:eastAsia="仿宋_GB2312" w:cs="Times New Roman"/>
          <w:color w:val="000000"/>
          <w:kern w:val="0"/>
          <w:sz w:val="32"/>
          <w:szCs w:val="32"/>
          <w:lang w:bidi="ar"/>
        </w:rPr>
        <w:t>体温计、胎心检测仪、心电检测仪、尿常规</w:t>
      </w:r>
      <w:r>
        <w:rPr>
          <w:rFonts w:hint="default" w:ascii="Times New Roman" w:hAnsi="Times New Roman" w:eastAsia="仿宋_GB2312" w:cs="Times New Roman"/>
          <w:color w:val="000000"/>
          <w:kern w:val="0"/>
          <w:sz w:val="32"/>
          <w:szCs w:val="32"/>
          <w:lang w:eastAsia="zh-CN" w:bidi="ar"/>
        </w:rPr>
        <w:t>检测仪</w:t>
      </w:r>
      <w:r>
        <w:rPr>
          <w:rFonts w:hint="default" w:ascii="Times New Roman" w:hAnsi="Times New Roman" w:eastAsia="仿宋_GB2312" w:cs="Times New Roman"/>
          <w:color w:val="000000"/>
          <w:kern w:val="0"/>
          <w:sz w:val="32"/>
          <w:szCs w:val="32"/>
          <w:lang w:bidi="ar"/>
        </w:rPr>
        <w:t>、平板及健康数据采集/健康管理软件，身份证读卡器等智能健康监测设备全部到位，设备交付率达到100%。</w:t>
      </w:r>
    </w:p>
    <w:p>
      <w:pPr>
        <w:autoSpaceDE/>
        <w:autoSpaceDN/>
        <w:spacing w:line="560" w:lineRule="exact"/>
        <w:ind w:firstLine="606"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eastAsia="zh-CN"/>
        </w:rPr>
        <w:t>按年度专项资金绩效评价产出质量指标全部完成：</w:t>
      </w:r>
      <w:r>
        <w:rPr>
          <w:rFonts w:hint="default" w:ascii="Times New Roman" w:hAnsi="Times New Roman" w:eastAsia="仿宋_GB2312" w:cs="Times New Roman"/>
          <w:color w:val="000000"/>
          <w:sz w:val="32"/>
          <w:szCs w:val="32"/>
        </w:rPr>
        <w:t>2019年，参与基层医疗人才队伍培训1</w:t>
      </w:r>
      <w:r>
        <w:rPr>
          <w:rFonts w:hint="eastAsia" w:ascii="Times New Roman" w:hAnsi="Times New Roman" w:eastAsia="仿宋_GB2312" w:cs="Times New Roman"/>
          <w:color w:val="000000"/>
          <w:sz w:val="32"/>
          <w:szCs w:val="32"/>
          <w:lang w:val="en-US" w:eastAsia="zh-CN"/>
        </w:rPr>
        <w:t>512</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名（含订单定向培养医学大学生），1</w:t>
      </w:r>
      <w:r>
        <w:rPr>
          <w:rFonts w:hint="eastAsia" w:ascii="Times New Roman" w:hAnsi="Times New Roman" w:eastAsia="仿宋_GB2312" w:cs="Times New Roman"/>
          <w:color w:val="000000"/>
          <w:sz w:val="32"/>
          <w:szCs w:val="32"/>
          <w:lang w:val="en-US" w:eastAsia="zh-CN"/>
        </w:rPr>
        <w:t>512</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名参加考核，培训合格率达到97.14%，</w:t>
      </w:r>
      <w:r>
        <w:rPr>
          <w:rFonts w:hint="default" w:ascii="Times New Roman" w:hAnsi="Times New Roman" w:eastAsia="仿宋_GB2312" w:cs="Times New Roman"/>
          <w:b/>
          <w:bCs/>
          <w:color w:val="000000"/>
          <w:sz w:val="32"/>
          <w:szCs w:val="32"/>
        </w:rPr>
        <w:t>培训合格率</w:t>
      </w:r>
      <w:r>
        <w:rPr>
          <w:rFonts w:hint="default" w:ascii="Times New Roman" w:hAnsi="Times New Roman" w:eastAsia="仿宋_GB2312" w:cs="Times New Roman"/>
          <w:b/>
          <w:bCs/>
          <w:color w:val="000000"/>
          <w:sz w:val="32"/>
          <w:szCs w:val="32"/>
          <w:lang w:val="en-US" w:eastAsia="zh-CN"/>
        </w:rPr>
        <w:t>超过90%。</w:t>
      </w:r>
      <w:r>
        <w:rPr>
          <w:rFonts w:hint="default" w:ascii="Times New Roman" w:hAnsi="Times New Roman" w:eastAsia="仿宋_GB2312" w:cs="Times New Roman"/>
          <w:color w:val="000000"/>
          <w:sz w:val="32"/>
          <w:szCs w:val="32"/>
        </w:rPr>
        <w:t>其中：家庭医生团队骨干师资培训合格率100%，产科转岗培训合格率100%，儿科转岗培训合格率100%，订单定向培养医学大学生合格率100%，全科医生培训合格率80%，住院医师规范化对象（社会人学员）合格率100%，家庭医生签约服务骨干师资培训合格率100%。</w:t>
      </w:r>
    </w:p>
    <w:p>
      <w:pPr>
        <w:widowControl/>
        <w:spacing w:line="560" w:lineRule="exact"/>
        <w:ind w:firstLine="606" w:firstLineChars="200"/>
        <w:jc w:val="left"/>
        <w:rPr>
          <w:rFonts w:hint="default" w:ascii="Times New Roman" w:hAnsi="Times New Roman" w:eastAsia="楷体_GB2312" w:cs="Times New Roman"/>
          <w:b w:val="0"/>
          <w:bCs w:val="0"/>
          <w:color w:val="000000"/>
          <w:sz w:val="32"/>
          <w:szCs w:val="32"/>
          <w:lang w:eastAsia="zh-CN" w:bidi="ar"/>
        </w:rPr>
      </w:pPr>
      <w:r>
        <w:rPr>
          <w:rFonts w:hint="default" w:ascii="Times New Roman" w:hAnsi="Times New Roman" w:eastAsia="楷体_GB2312" w:cs="Times New Roman"/>
          <w:b w:val="0"/>
          <w:bCs w:val="0"/>
          <w:color w:val="000000"/>
          <w:sz w:val="32"/>
          <w:szCs w:val="32"/>
          <w:lang w:bidi="ar"/>
        </w:rPr>
        <w:t>（四）效益指标</w:t>
      </w:r>
      <w:r>
        <w:rPr>
          <w:rFonts w:hint="default" w:ascii="Times New Roman" w:hAnsi="Times New Roman" w:eastAsia="楷体_GB2312" w:cs="Times New Roman"/>
          <w:b w:val="0"/>
          <w:bCs w:val="0"/>
          <w:color w:val="000000"/>
          <w:sz w:val="32"/>
          <w:szCs w:val="32"/>
          <w:lang w:eastAsia="zh-CN" w:bidi="ar"/>
        </w:rPr>
        <w:t>完成情况。</w:t>
      </w:r>
    </w:p>
    <w:p>
      <w:pPr>
        <w:widowControl/>
        <w:spacing w:line="560" w:lineRule="exact"/>
        <w:ind w:firstLine="606"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0"/>
          <w:sz w:val="32"/>
          <w:szCs w:val="32"/>
          <w:lang w:val="en-US" w:eastAsia="zh-CN" w:bidi="ar"/>
        </w:rPr>
        <w:t>13.</w:t>
      </w:r>
      <w:r>
        <w:rPr>
          <w:rFonts w:hint="default" w:ascii="Times New Roman" w:hAnsi="Times New Roman" w:eastAsia="仿宋_GB2312" w:cs="Times New Roman"/>
          <w:b/>
          <w:bCs/>
          <w:color w:val="000000"/>
          <w:kern w:val="0"/>
          <w:sz w:val="32"/>
          <w:szCs w:val="32"/>
          <w:lang w:bidi="ar"/>
        </w:rPr>
        <w:t>社会效益</w:t>
      </w:r>
      <w:r>
        <w:rPr>
          <w:rFonts w:hint="default" w:ascii="Times New Roman" w:hAnsi="Times New Roman" w:eastAsia="仿宋_GB2312" w:cs="Times New Roman"/>
          <w:b/>
          <w:bCs/>
          <w:color w:val="000000"/>
          <w:kern w:val="0"/>
          <w:sz w:val="32"/>
          <w:szCs w:val="32"/>
          <w:lang w:eastAsia="zh-CN" w:bidi="ar"/>
        </w:rPr>
        <w:t>完成情况</w:t>
      </w:r>
      <w:r>
        <w:rPr>
          <w:rFonts w:hint="default" w:ascii="Times New Roman" w:hAnsi="Times New Roman" w:eastAsia="仿宋_GB2312" w:cs="Times New Roman"/>
          <w:b/>
          <w:bCs/>
          <w:color w:val="000000"/>
          <w:kern w:val="0"/>
          <w:sz w:val="32"/>
          <w:szCs w:val="32"/>
          <w:lang w:bidi="ar"/>
        </w:rPr>
        <w:t>。</w:t>
      </w:r>
      <w:r>
        <w:rPr>
          <w:rFonts w:hint="default" w:ascii="Times New Roman" w:hAnsi="Times New Roman" w:eastAsia="仿宋_GB2312" w:cs="Times New Roman"/>
          <w:color w:val="000000"/>
          <w:kern w:val="0"/>
          <w:sz w:val="32"/>
          <w:szCs w:val="32"/>
          <w:lang w:bidi="ar"/>
        </w:rPr>
        <w:t>该指标分值25分，自评得分25分，得分率100%</w:t>
      </w:r>
      <w:r>
        <w:rPr>
          <w:rFonts w:hint="default" w:ascii="Times New Roman" w:hAnsi="Times New Roman" w:eastAsia="仿宋_GB2312" w:cs="Times New Roman"/>
          <w:color w:val="000000"/>
          <w:kern w:val="0"/>
          <w:sz w:val="32"/>
          <w:szCs w:val="32"/>
          <w:lang w:eastAsia="zh-CN" w:bidi="ar"/>
        </w:rPr>
        <w:t>。具体如下：</w:t>
      </w:r>
      <w:r>
        <w:rPr>
          <w:rFonts w:hint="default" w:ascii="Times New Roman" w:hAnsi="Times New Roman" w:eastAsia="仿宋_GB2312" w:cs="Times New Roman"/>
          <w:b/>
          <w:bCs/>
          <w:color w:val="000000"/>
          <w:sz w:val="32"/>
          <w:szCs w:val="32"/>
          <w:lang w:eastAsia="zh-CN"/>
        </w:rPr>
        <w:t>一是</w:t>
      </w:r>
      <w:r>
        <w:rPr>
          <w:rFonts w:hint="default" w:ascii="Times New Roman" w:hAnsi="Times New Roman" w:eastAsia="仿宋_GB2312" w:cs="Times New Roman"/>
          <w:b/>
          <w:bCs/>
          <w:color w:val="000000"/>
          <w:sz w:val="32"/>
          <w:szCs w:val="32"/>
        </w:rPr>
        <w:t>县域内住院率</w:t>
      </w:r>
      <w:r>
        <w:rPr>
          <w:rFonts w:hint="default" w:ascii="Times New Roman" w:hAnsi="Times New Roman" w:eastAsia="仿宋_GB2312" w:cs="Times New Roman"/>
          <w:b/>
          <w:bCs/>
          <w:color w:val="000000"/>
          <w:sz w:val="32"/>
          <w:szCs w:val="32"/>
          <w:lang w:eastAsia="zh-CN"/>
        </w:rPr>
        <w:t>超过年初设定的</w:t>
      </w:r>
      <w:r>
        <w:rPr>
          <w:rFonts w:hint="default" w:ascii="Times New Roman" w:hAnsi="Times New Roman" w:eastAsia="仿宋_GB2312" w:cs="Times New Roman"/>
          <w:color w:val="000000"/>
          <w:kern w:val="0"/>
          <w:sz w:val="32"/>
          <w:szCs w:val="32"/>
          <w:lang w:bidi="ar"/>
        </w:rPr>
        <w:t>82.4%</w:t>
      </w:r>
      <w:r>
        <w:rPr>
          <w:rFonts w:hint="default" w:ascii="Times New Roman" w:hAnsi="Times New Roman" w:eastAsia="仿宋_GB2312" w:cs="Times New Roman"/>
          <w:color w:val="000000"/>
          <w:kern w:val="0"/>
          <w:sz w:val="32"/>
          <w:szCs w:val="32"/>
          <w:lang w:eastAsia="zh-CN" w:bidi="ar"/>
        </w:rPr>
        <w:t>预期绩效目标。</w:t>
      </w:r>
      <w:r>
        <w:rPr>
          <w:rFonts w:hint="default" w:ascii="Times New Roman" w:hAnsi="Times New Roman" w:eastAsia="仿宋_GB2312" w:cs="Times New Roman"/>
          <w:color w:val="000000"/>
          <w:sz w:val="32"/>
          <w:szCs w:val="32"/>
        </w:rPr>
        <w:t>2019年，</w:t>
      </w:r>
      <w:r>
        <w:rPr>
          <w:rFonts w:hint="default" w:ascii="Times New Roman" w:hAnsi="Times New Roman" w:eastAsia="仿宋_GB2312" w:cs="Times New Roman"/>
          <w:color w:val="000000"/>
          <w:sz w:val="32"/>
          <w:szCs w:val="32"/>
          <w:lang w:val="en-US" w:eastAsia="zh-CN"/>
        </w:rPr>
        <w:t>基层卫生人才队伍不断壮大，医疗卫生服务能力不断提升，全年</w:t>
      </w:r>
      <w:r>
        <w:rPr>
          <w:rFonts w:hint="default" w:ascii="Times New Roman" w:hAnsi="Times New Roman" w:eastAsia="仿宋_GB2312" w:cs="Times New Roman"/>
          <w:color w:val="000000"/>
          <w:sz w:val="32"/>
          <w:szCs w:val="32"/>
        </w:rPr>
        <w:t>通过远程医疗平台培训基层医务人员近3万人次，</w:t>
      </w:r>
      <w:r>
        <w:rPr>
          <w:rFonts w:hint="default" w:ascii="Times New Roman" w:hAnsi="Times New Roman" w:eastAsia="仿宋_GB2312" w:cs="Times New Roman"/>
          <w:color w:val="000000"/>
          <w:sz w:val="32"/>
          <w:szCs w:val="32"/>
          <w:lang w:val="en-US" w:eastAsia="zh-CN"/>
        </w:rPr>
        <w:t>累计向基层卫生机构</w:t>
      </w:r>
      <w:r>
        <w:rPr>
          <w:rFonts w:hint="default" w:ascii="Times New Roman" w:hAnsi="Times New Roman" w:eastAsia="仿宋_GB2312" w:cs="Times New Roman"/>
          <w:color w:val="000000"/>
          <w:sz w:val="32"/>
          <w:szCs w:val="32"/>
        </w:rPr>
        <w:t>派出专业技术人员1652人，参与诊疗患者（含远程）65.51万人次，省部级医院诊疗人次占比</w:t>
      </w:r>
      <w:r>
        <w:rPr>
          <w:rFonts w:hint="default" w:ascii="Times New Roman" w:hAnsi="Times New Roman" w:eastAsia="仿宋_GB2312" w:cs="Times New Roman"/>
          <w:color w:val="000000"/>
          <w:sz w:val="32"/>
          <w:szCs w:val="32"/>
          <w:lang w:val="en-US" w:eastAsia="zh-CN"/>
        </w:rPr>
        <w:t>开始</w:t>
      </w:r>
      <w:r>
        <w:rPr>
          <w:rFonts w:hint="default" w:ascii="Times New Roman" w:hAnsi="Times New Roman" w:eastAsia="仿宋_GB2312" w:cs="Times New Roman"/>
          <w:color w:val="000000"/>
          <w:sz w:val="32"/>
          <w:szCs w:val="32"/>
        </w:rPr>
        <w:t>出现下降，57个县级人民医院诊疗人次占比</w:t>
      </w:r>
      <w:r>
        <w:rPr>
          <w:rFonts w:hint="default" w:ascii="Times New Roman" w:hAnsi="Times New Roman" w:eastAsia="仿宋_GB2312" w:cs="Times New Roman"/>
          <w:color w:val="000000"/>
          <w:sz w:val="32"/>
          <w:szCs w:val="32"/>
          <w:lang w:val="en-US" w:eastAsia="zh-CN"/>
        </w:rPr>
        <w:t>开始呈</w:t>
      </w:r>
      <w:r>
        <w:rPr>
          <w:rFonts w:hint="default" w:ascii="Times New Roman" w:hAnsi="Times New Roman" w:eastAsia="仿宋_GB2312" w:cs="Times New Roman"/>
          <w:color w:val="000000"/>
          <w:sz w:val="32"/>
          <w:szCs w:val="32"/>
        </w:rPr>
        <w:t>上升的趋势，全年县域内住院率超过84%，基本实现大病不出县。</w:t>
      </w:r>
      <w:r>
        <w:rPr>
          <w:rFonts w:hint="default" w:ascii="Times New Roman" w:hAnsi="Times New Roman" w:eastAsia="仿宋_GB2312" w:cs="Times New Roman"/>
          <w:b/>
          <w:bCs/>
          <w:color w:val="000000"/>
          <w:sz w:val="32"/>
          <w:szCs w:val="32"/>
          <w:lang w:eastAsia="zh-CN"/>
        </w:rPr>
        <w:t>二是</w:t>
      </w:r>
      <w:r>
        <w:rPr>
          <w:rFonts w:hint="default" w:ascii="Times New Roman" w:hAnsi="Times New Roman" w:eastAsia="仿宋_GB2312" w:cs="Times New Roman"/>
          <w:b/>
          <w:bCs/>
          <w:color w:val="000000"/>
          <w:sz w:val="32"/>
          <w:szCs w:val="32"/>
        </w:rPr>
        <w:t>系统正常运行率</w:t>
      </w:r>
      <w:r>
        <w:rPr>
          <w:rFonts w:hint="default" w:ascii="Times New Roman" w:hAnsi="Times New Roman" w:eastAsia="仿宋_GB2312" w:cs="Times New Roman"/>
          <w:b/>
          <w:bCs/>
          <w:color w:val="000000"/>
          <w:sz w:val="32"/>
          <w:szCs w:val="32"/>
          <w:lang w:eastAsia="zh-CN"/>
        </w:rPr>
        <w:t>达到</w:t>
      </w:r>
      <w:r>
        <w:rPr>
          <w:rFonts w:hint="default" w:ascii="Times New Roman" w:hAnsi="Times New Roman" w:eastAsia="仿宋_GB2312" w:cs="Times New Roman"/>
          <w:color w:val="000000"/>
          <w:sz w:val="32"/>
          <w:szCs w:val="32"/>
          <w:shd w:val="clear" w:color="auto" w:fill="FFFFFF"/>
        </w:rPr>
        <w:t>10</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2019年，2277条</w:t>
      </w:r>
      <w:r>
        <w:rPr>
          <w:rFonts w:hint="default" w:ascii="Times New Roman" w:hAnsi="Times New Roman" w:eastAsia="仿宋_GB2312" w:cs="Times New Roman"/>
          <w:color w:val="000000"/>
          <w:sz w:val="32"/>
          <w:szCs w:val="32"/>
          <w:lang w:eastAsia="zh-CN"/>
        </w:rPr>
        <w:t>省定</w:t>
      </w:r>
      <w:r>
        <w:rPr>
          <w:rFonts w:hint="default" w:ascii="Times New Roman" w:hAnsi="Times New Roman" w:eastAsia="仿宋_GB2312" w:cs="Times New Roman"/>
          <w:color w:val="000000"/>
          <w:sz w:val="32"/>
          <w:szCs w:val="32"/>
        </w:rPr>
        <w:t>贫困村全部按计划建成村医工作站，并全部接入省远程医疗平台，引入“AI医生”，为群众提供远程门诊、远程会诊、远程教育和健康管理等医疗服务服务，没有发生系统问题，系统正常运行率达到100%，实现贫困村远程医疗全覆盖。</w:t>
      </w:r>
      <w:r>
        <w:rPr>
          <w:rFonts w:hint="default" w:ascii="Times New Roman" w:hAnsi="Times New Roman" w:eastAsia="仿宋_GB2312" w:cs="Times New Roman"/>
          <w:b/>
          <w:bCs/>
          <w:color w:val="000000"/>
          <w:sz w:val="32"/>
          <w:szCs w:val="32"/>
          <w:lang w:eastAsia="zh-CN"/>
        </w:rPr>
        <w:t>三是</w:t>
      </w:r>
      <w:r>
        <w:rPr>
          <w:rFonts w:hint="default" w:ascii="Times New Roman" w:hAnsi="Times New Roman" w:eastAsia="仿宋_GB2312" w:cs="Times New Roman"/>
          <w:b/>
          <w:bCs/>
          <w:color w:val="000000"/>
          <w:sz w:val="32"/>
          <w:szCs w:val="32"/>
        </w:rPr>
        <w:t>设备采购经济性</w:t>
      </w:r>
      <w:r>
        <w:rPr>
          <w:rFonts w:hint="default" w:ascii="Times New Roman" w:hAnsi="Times New Roman" w:eastAsia="仿宋_GB2312" w:cs="Times New Roman"/>
          <w:b/>
          <w:bCs/>
          <w:color w:val="000000"/>
          <w:sz w:val="32"/>
          <w:szCs w:val="32"/>
          <w:lang w:eastAsia="zh-CN"/>
        </w:rPr>
        <w:t>达到</w:t>
      </w:r>
      <w:r>
        <w:rPr>
          <w:rFonts w:hint="default" w:ascii="Times New Roman" w:hAnsi="Times New Roman" w:eastAsia="仿宋_GB2312" w:cs="Times New Roman"/>
          <w:b/>
          <w:bCs/>
          <w:color w:val="000000"/>
          <w:sz w:val="32"/>
          <w:szCs w:val="32"/>
          <w:shd w:val="clear" w:color="auto" w:fill="FFFFFF"/>
        </w:rPr>
        <w:t>10</w:t>
      </w:r>
      <w:r>
        <w:rPr>
          <w:rFonts w:hint="default" w:ascii="Times New Roman" w:hAnsi="Times New Roman" w:eastAsia="仿宋_GB2312" w:cs="Times New Roman"/>
          <w:b/>
          <w:bCs/>
          <w:color w:val="000000"/>
          <w:sz w:val="32"/>
          <w:szCs w:val="32"/>
        </w:rPr>
        <w:t>0</w:t>
      </w:r>
      <w:r>
        <w:rPr>
          <w:rFonts w:hint="default" w:ascii="Times New Roman" w:hAnsi="Times New Roman" w:eastAsia="仿宋_GB2312" w:cs="Times New Roman"/>
          <w:b/>
          <w:bCs/>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2019年，项目采购预算金额2732.40万元，</w:t>
      </w:r>
      <w:r>
        <w:rPr>
          <w:rFonts w:hint="default" w:ascii="Times New Roman" w:hAnsi="Times New Roman" w:eastAsia="仿宋_GB2312" w:cs="Times New Roman"/>
          <w:b w:val="0"/>
          <w:bCs w:val="0"/>
          <w:color w:val="000000"/>
          <w:sz w:val="32"/>
          <w:szCs w:val="32"/>
          <w:lang w:eastAsia="zh-CN"/>
        </w:rPr>
        <w:t>各项目</w:t>
      </w:r>
      <w:r>
        <w:rPr>
          <w:rFonts w:hint="default" w:ascii="Times New Roman" w:hAnsi="Times New Roman" w:eastAsia="仿宋_GB2312" w:cs="Times New Roman"/>
          <w:color w:val="000000"/>
          <w:sz w:val="32"/>
          <w:szCs w:val="32"/>
        </w:rPr>
        <w:t>实施单位购置的健康监测设备（仪器）能严格依照政府采购法规规定的公开程序采购</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实际成交金额2732.40万元，没有发生预算超支情况，设备采购经济性良好。</w:t>
      </w:r>
      <w:r>
        <w:rPr>
          <w:rFonts w:hint="default" w:ascii="Times New Roman" w:hAnsi="Times New Roman" w:eastAsia="仿宋_GB2312" w:cs="Times New Roman"/>
          <w:b/>
          <w:bCs/>
          <w:color w:val="000000"/>
          <w:sz w:val="32"/>
          <w:szCs w:val="32"/>
          <w:lang w:eastAsia="zh-CN"/>
        </w:rPr>
        <w:t>四是</w:t>
      </w:r>
      <w:r>
        <w:rPr>
          <w:rFonts w:hint="default" w:ascii="Times New Roman" w:hAnsi="Times New Roman" w:eastAsia="仿宋_GB2312" w:cs="Times New Roman"/>
          <w:b/>
          <w:bCs/>
          <w:color w:val="000000"/>
          <w:sz w:val="32"/>
          <w:szCs w:val="32"/>
          <w:lang w:bidi="ar"/>
        </w:rPr>
        <w:t>可持续发展。</w:t>
      </w:r>
      <w:r>
        <w:rPr>
          <w:rFonts w:hint="default" w:ascii="Times New Roman" w:hAnsi="Times New Roman" w:eastAsia="仿宋_GB2312" w:cs="Times New Roman"/>
          <w:color w:val="000000"/>
          <w:sz w:val="32"/>
          <w:szCs w:val="32"/>
        </w:rPr>
        <w:t>基层医疗卫生机构是涉及民生的公益机构，在政策、资金、人员机构和管理措施等方面，政府财政都将长期给予保障。</w:t>
      </w:r>
    </w:p>
    <w:p>
      <w:pPr>
        <w:widowControl/>
        <w:spacing w:line="560" w:lineRule="exact"/>
        <w:ind w:firstLine="606"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bidi="ar"/>
        </w:rPr>
        <w:t>1</w:t>
      </w:r>
      <w:r>
        <w:rPr>
          <w:rFonts w:hint="default" w:ascii="Times New Roman" w:hAnsi="Times New Roman" w:eastAsia="仿宋_GB2312" w:cs="Times New Roman"/>
          <w:b/>
          <w:bCs/>
          <w:color w:val="000000"/>
          <w:sz w:val="32"/>
          <w:szCs w:val="32"/>
          <w:lang w:val="en-US" w:eastAsia="zh-CN" w:bidi="ar"/>
        </w:rPr>
        <w:t>4.社会</w:t>
      </w:r>
      <w:r>
        <w:rPr>
          <w:rFonts w:hint="default" w:ascii="Times New Roman" w:hAnsi="Times New Roman" w:eastAsia="仿宋_GB2312" w:cs="Times New Roman"/>
          <w:b/>
          <w:bCs/>
          <w:color w:val="000000"/>
          <w:kern w:val="0"/>
          <w:sz w:val="32"/>
          <w:szCs w:val="32"/>
          <w:lang w:bidi="ar"/>
        </w:rPr>
        <w:t>公平性</w:t>
      </w:r>
      <w:r>
        <w:rPr>
          <w:rFonts w:hint="default" w:ascii="Times New Roman" w:hAnsi="Times New Roman" w:eastAsia="仿宋_GB2312" w:cs="Times New Roman"/>
          <w:b/>
          <w:bCs/>
          <w:color w:val="000000"/>
          <w:kern w:val="0"/>
          <w:sz w:val="32"/>
          <w:szCs w:val="32"/>
          <w:lang w:eastAsia="zh-CN" w:bidi="ar"/>
        </w:rPr>
        <w:t>实现情况</w:t>
      </w:r>
      <w:r>
        <w:rPr>
          <w:rFonts w:hint="default" w:ascii="Times New Roman" w:hAnsi="Times New Roman" w:eastAsia="仿宋_GB2312" w:cs="Times New Roman"/>
          <w:b/>
          <w:bCs/>
          <w:color w:val="000000"/>
          <w:kern w:val="0"/>
          <w:sz w:val="32"/>
          <w:szCs w:val="32"/>
          <w:lang w:bidi="ar"/>
        </w:rPr>
        <w:t>。</w:t>
      </w:r>
      <w:r>
        <w:rPr>
          <w:rFonts w:hint="default" w:ascii="Times New Roman" w:hAnsi="Times New Roman" w:eastAsia="仿宋_GB2312" w:cs="Times New Roman"/>
          <w:color w:val="000000"/>
          <w:sz w:val="32"/>
          <w:szCs w:val="32"/>
        </w:rPr>
        <w:t>根据问卷调查统计结果，1</w:t>
      </w:r>
      <w:r>
        <w:rPr>
          <w:rFonts w:hint="eastAsia" w:ascii="Times New Roman" w:hAnsi="Times New Roman" w:eastAsia="仿宋_GB2312" w:cs="Times New Roman"/>
          <w:color w:val="000000"/>
          <w:sz w:val="32"/>
          <w:szCs w:val="32"/>
          <w:lang w:val="en-US" w:eastAsia="zh-CN"/>
        </w:rPr>
        <w:t>512</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名参加基层医疗人才队伍培训的学员对培训内容、师资和效果的满意度为100%</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高于</w:t>
      </w:r>
      <w:r>
        <w:rPr>
          <w:rFonts w:hint="default" w:ascii="Times New Roman" w:hAnsi="Times New Roman" w:eastAsia="仿宋_GB2312" w:cs="Times New Roman"/>
          <w:color w:val="000000"/>
          <w:sz w:val="32"/>
          <w:szCs w:val="32"/>
          <w:lang w:eastAsia="zh-CN"/>
        </w:rPr>
        <w:t>年初绩效设定</w:t>
      </w:r>
      <w:r>
        <w:rPr>
          <w:rFonts w:hint="default" w:ascii="Times New Roman" w:hAnsi="Times New Roman" w:eastAsia="仿宋_GB2312" w:cs="Times New Roman"/>
          <w:color w:val="000000"/>
          <w:sz w:val="32"/>
          <w:szCs w:val="32"/>
        </w:rPr>
        <w:t>的85%目标值，效果好。项目在实施过程中没有发现存在工作不当引起的纠纷、诉讼、上访等问题，投诉信访率为0%。经综合分析，各项效益指标全部实现，实施效果好且具有可持续性，学员满意度</w:t>
      </w:r>
      <w:r>
        <w:rPr>
          <w:rFonts w:hint="default" w:ascii="Times New Roman" w:hAnsi="Times New Roman" w:eastAsia="仿宋_GB2312" w:cs="Times New Roman"/>
          <w:color w:val="000000"/>
          <w:sz w:val="32"/>
          <w:szCs w:val="32"/>
          <w:lang w:eastAsia="zh-CN"/>
        </w:rPr>
        <w:t>高</w:t>
      </w:r>
      <w:r>
        <w:rPr>
          <w:rFonts w:hint="default" w:ascii="Times New Roman" w:hAnsi="Times New Roman" w:eastAsia="仿宋_GB2312" w:cs="Times New Roman"/>
          <w:color w:val="000000"/>
          <w:sz w:val="32"/>
          <w:szCs w:val="32"/>
        </w:rPr>
        <w:t>，没有发生纠纷、诉讼、上访等问题，高标准完成省政府民生实事任务。指标分值 5 分，依据评分标准，自评得分 5 分，得分率100%。</w:t>
      </w:r>
    </w:p>
    <w:p>
      <w:pPr>
        <w:widowControl/>
        <w:numPr>
          <w:ilvl w:val="0"/>
          <w:numId w:val="0"/>
        </w:numPr>
        <w:spacing w:line="560" w:lineRule="exact"/>
        <w:ind w:firstLine="606" w:firstLineChars="200"/>
        <w:rPr>
          <w:rFonts w:hint="default" w:ascii="Times New Roman" w:hAnsi="Times New Roman" w:eastAsia="黑体" w:cs="Times New Roman"/>
          <w:b w:val="0"/>
          <w:bCs w:val="0"/>
          <w:color w:val="000000"/>
          <w:kern w:val="0"/>
          <w:sz w:val="32"/>
          <w:szCs w:val="32"/>
          <w:lang w:bidi="ar"/>
        </w:rPr>
      </w:pPr>
      <w:r>
        <w:rPr>
          <w:rFonts w:hint="default" w:ascii="Times New Roman" w:hAnsi="Times New Roman" w:eastAsia="黑体" w:cs="Times New Roman"/>
          <w:b w:val="0"/>
          <w:bCs w:val="0"/>
          <w:color w:val="000000"/>
          <w:sz w:val="32"/>
          <w:szCs w:val="32"/>
          <w:lang w:eastAsia="zh-CN"/>
        </w:rPr>
        <w:t>三、</w:t>
      </w:r>
      <w:r>
        <w:rPr>
          <w:rFonts w:hint="default" w:ascii="Times New Roman" w:hAnsi="Times New Roman" w:eastAsia="黑体" w:cs="Times New Roman"/>
          <w:b w:val="0"/>
          <w:bCs w:val="0"/>
          <w:color w:val="000000"/>
          <w:kern w:val="0"/>
          <w:sz w:val="32"/>
          <w:szCs w:val="32"/>
          <w:lang w:bidi="ar"/>
        </w:rPr>
        <w:t>综合评价结论</w:t>
      </w:r>
    </w:p>
    <w:p>
      <w:pPr>
        <w:widowControl/>
        <w:spacing w:line="560" w:lineRule="exact"/>
        <w:ind w:firstLine="606" w:firstLineChars="200"/>
        <w:rPr>
          <w:rFonts w:hint="default" w:ascii="Times New Roman" w:hAnsi="Times New Roman" w:eastAsia="仿宋_GB2312" w:cs="Times New Roman"/>
          <w:color w:val="000000"/>
          <w:kern w:val="0"/>
          <w:sz w:val="32"/>
          <w:szCs w:val="32"/>
          <w:lang w:val="zh-CN"/>
        </w:rPr>
      </w:pPr>
      <w:r>
        <w:rPr>
          <w:rFonts w:hint="default" w:ascii="Times New Roman" w:hAnsi="Times New Roman" w:eastAsia="仿宋_GB2312" w:cs="Times New Roman"/>
          <w:color w:val="000000"/>
          <w:kern w:val="0"/>
          <w:sz w:val="32"/>
          <w:szCs w:val="32"/>
          <w:lang w:bidi="ar"/>
        </w:rPr>
        <w:t>根据广东省财政厅《关于做好2020年省级财政重点绩效评价工作有关问题的通知》确定的评价程序、工作要求和评分标准等，在</w:t>
      </w:r>
      <w:r>
        <w:rPr>
          <w:rFonts w:hint="default" w:ascii="Times New Roman" w:hAnsi="Times New Roman" w:eastAsia="仿宋_GB2312" w:cs="Times New Roman"/>
          <w:color w:val="000000"/>
          <w:kern w:val="0"/>
          <w:sz w:val="32"/>
          <w:szCs w:val="32"/>
          <w:lang w:eastAsia="zh-CN" w:bidi="ar"/>
        </w:rPr>
        <w:t>客观</w:t>
      </w:r>
      <w:r>
        <w:rPr>
          <w:rFonts w:hint="default" w:ascii="Times New Roman" w:hAnsi="Times New Roman" w:eastAsia="仿宋_GB2312" w:cs="Times New Roman"/>
          <w:color w:val="000000"/>
          <w:kern w:val="0"/>
          <w:sz w:val="32"/>
          <w:szCs w:val="32"/>
          <w:lang w:bidi="ar"/>
        </w:rPr>
        <w:t>综合分析</w:t>
      </w:r>
      <w:r>
        <w:rPr>
          <w:rFonts w:hint="default" w:ascii="Times New Roman" w:hAnsi="Times New Roman" w:eastAsia="仿宋_GB2312" w:cs="Times New Roman"/>
          <w:color w:val="000000"/>
          <w:kern w:val="0"/>
          <w:sz w:val="32"/>
          <w:szCs w:val="32"/>
          <w:lang w:eastAsia="zh-CN" w:bidi="ar"/>
        </w:rPr>
        <w:t>各项目</w:t>
      </w:r>
      <w:r>
        <w:rPr>
          <w:rFonts w:hint="default" w:ascii="Times New Roman" w:hAnsi="Times New Roman" w:eastAsia="仿宋_GB2312" w:cs="Times New Roman"/>
          <w:color w:val="000000"/>
          <w:kern w:val="0"/>
          <w:sz w:val="32"/>
          <w:szCs w:val="32"/>
          <w:lang w:bidi="ar"/>
        </w:rPr>
        <w:t>实施</w:t>
      </w:r>
      <w:r>
        <w:rPr>
          <w:rFonts w:hint="default" w:ascii="Times New Roman" w:hAnsi="Times New Roman" w:eastAsia="仿宋_GB2312" w:cs="Times New Roman"/>
          <w:color w:val="000000"/>
          <w:kern w:val="0"/>
          <w:sz w:val="32"/>
          <w:szCs w:val="32"/>
          <w:lang w:eastAsia="zh-CN" w:bidi="ar"/>
        </w:rPr>
        <w:t>情况的</w:t>
      </w:r>
      <w:r>
        <w:rPr>
          <w:rFonts w:hint="default" w:ascii="Times New Roman" w:hAnsi="Times New Roman" w:eastAsia="仿宋_GB2312" w:cs="Times New Roman"/>
          <w:color w:val="000000"/>
          <w:kern w:val="0"/>
          <w:sz w:val="32"/>
          <w:szCs w:val="32"/>
          <w:lang w:bidi="ar"/>
        </w:rPr>
        <w:t>基础上，</w:t>
      </w:r>
      <w:r>
        <w:rPr>
          <w:rFonts w:hint="default" w:ascii="Times New Roman" w:hAnsi="Times New Roman" w:eastAsia="仿宋_GB2312" w:cs="Times New Roman"/>
          <w:color w:val="000000"/>
          <w:kern w:val="0"/>
          <w:sz w:val="32"/>
          <w:szCs w:val="32"/>
        </w:rPr>
        <w:t>我委</w:t>
      </w:r>
      <w:r>
        <w:rPr>
          <w:rFonts w:hint="default" w:ascii="Times New Roman" w:hAnsi="Times New Roman" w:eastAsia="仿宋_GB2312" w:cs="Times New Roman"/>
          <w:color w:val="000000"/>
          <w:kern w:val="0"/>
          <w:sz w:val="32"/>
          <w:szCs w:val="32"/>
          <w:lang w:val="zh-CN"/>
        </w:rPr>
        <w:t>实施的</w:t>
      </w:r>
      <w:r>
        <w:rPr>
          <w:rFonts w:hint="default" w:ascii="Times New Roman" w:hAnsi="Times New Roman" w:eastAsia="仿宋_GB2312" w:cs="Times New Roman"/>
          <w:color w:val="000000"/>
          <w:kern w:val="0"/>
          <w:sz w:val="32"/>
          <w:szCs w:val="32"/>
          <w:lang w:bidi="ar"/>
        </w:rPr>
        <w:t>2019 年</w:t>
      </w:r>
      <w:r>
        <w:rPr>
          <w:rFonts w:hint="default" w:ascii="Times New Roman" w:hAnsi="Times New Roman" w:eastAsia="仿宋_GB2312" w:cs="Times New Roman"/>
          <w:color w:val="000000"/>
          <w:kern w:val="0"/>
          <w:sz w:val="32"/>
          <w:szCs w:val="32"/>
          <w:lang w:eastAsia="zh-CN" w:bidi="ar"/>
        </w:rPr>
        <w:t>省级</w:t>
      </w:r>
      <w:r>
        <w:rPr>
          <w:rFonts w:hint="default" w:ascii="Times New Roman" w:hAnsi="Times New Roman" w:eastAsia="仿宋_GB2312" w:cs="Times New Roman"/>
          <w:color w:val="000000"/>
          <w:kern w:val="0"/>
          <w:sz w:val="32"/>
          <w:szCs w:val="32"/>
          <w:lang w:bidi="ar"/>
        </w:rPr>
        <w:t>民生实事</w:t>
      </w:r>
      <w:r>
        <w:rPr>
          <w:rFonts w:hint="default" w:ascii="Times New Roman" w:hAnsi="Times New Roman" w:eastAsia="仿宋_GB2312" w:cs="Times New Roman"/>
          <w:color w:val="000000"/>
          <w:kern w:val="0"/>
          <w:sz w:val="32"/>
          <w:szCs w:val="32"/>
          <w:lang w:eastAsia="zh-CN" w:bidi="ar"/>
        </w:rPr>
        <w:t>的</w:t>
      </w:r>
      <w:r>
        <w:rPr>
          <w:rFonts w:hint="default" w:ascii="Times New Roman" w:hAnsi="Times New Roman" w:eastAsia="仿宋_GB2312" w:cs="Times New Roman"/>
          <w:color w:val="000000"/>
          <w:kern w:val="0"/>
          <w:sz w:val="32"/>
          <w:szCs w:val="32"/>
          <w:lang w:bidi="ar"/>
        </w:rPr>
        <w:t>加强</w:t>
      </w:r>
      <w:r>
        <w:rPr>
          <w:rFonts w:hint="default" w:ascii="Times New Roman" w:hAnsi="Times New Roman" w:eastAsia="仿宋_GB2312" w:cs="Times New Roman"/>
          <w:color w:val="000000"/>
          <w:kern w:val="0"/>
          <w:sz w:val="32"/>
          <w:szCs w:val="32"/>
          <w:lang w:eastAsia="zh-CN" w:bidi="ar"/>
        </w:rPr>
        <w:t>粤东粤西粤北</w:t>
      </w:r>
      <w:r>
        <w:rPr>
          <w:rFonts w:hint="default" w:ascii="Times New Roman" w:hAnsi="Times New Roman" w:eastAsia="仿宋_GB2312" w:cs="Times New Roman"/>
          <w:color w:val="000000"/>
          <w:kern w:val="0"/>
          <w:sz w:val="32"/>
          <w:szCs w:val="32"/>
          <w:lang w:bidi="ar"/>
        </w:rPr>
        <w:t>基层医疗人才队伍和服务能力建设</w:t>
      </w:r>
      <w:r>
        <w:rPr>
          <w:rFonts w:hint="default" w:ascii="Times New Roman" w:hAnsi="Times New Roman" w:eastAsia="仿宋_GB2312" w:cs="Times New Roman"/>
          <w:color w:val="000000"/>
          <w:kern w:val="0"/>
          <w:sz w:val="32"/>
          <w:szCs w:val="32"/>
          <w:lang w:eastAsia="zh-CN" w:bidi="ar"/>
        </w:rPr>
        <w:t>项目</w:t>
      </w:r>
      <w:r>
        <w:rPr>
          <w:rFonts w:hint="default" w:ascii="Times New Roman" w:hAnsi="Times New Roman" w:eastAsia="仿宋_GB2312" w:cs="Times New Roman"/>
          <w:color w:val="000000"/>
          <w:kern w:val="0"/>
          <w:sz w:val="32"/>
          <w:szCs w:val="32"/>
        </w:rPr>
        <w:t>资金使用绩效</w:t>
      </w:r>
      <w:r>
        <w:rPr>
          <w:rFonts w:hint="default" w:ascii="Times New Roman" w:hAnsi="Times New Roman" w:eastAsia="仿宋_GB2312" w:cs="Times New Roman"/>
          <w:color w:val="000000"/>
          <w:kern w:val="0"/>
          <w:sz w:val="32"/>
          <w:szCs w:val="32"/>
          <w:lang w:eastAsia="zh-CN"/>
        </w:rPr>
        <w:t>自评</w:t>
      </w:r>
      <w:r>
        <w:rPr>
          <w:rFonts w:hint="default" w:ascii="Times New Roman" w:hAnsi="Times New Roman" w:eastAsia="仿宋_GB2312" w:cs="Times New Roman"/>
          <w:color w:val="000000"/>
          <w:kern w:val="0"/>
          <w:sz w:val="32"/>
          <w:szCs w:val="32"/>
          <w:lang w:val="zh-CN"/>
        </w:rPr>
        <w:t>得分为</w:t>
      </w:r>
      <w:r>
        <w:rPr>
          <w:rFonts w:hint="default" w:ascii="Times New Roman" w:hAnsi="Times New Roman" w:eastAsia="仿宋_GB2312" w:cs="Times New Roman"/>
          <w:color w:val="000000"/>
          <w:kern w:val="0"/>
          <w:sz w:val="32"/>
          <w:szCs w:val="32"/>
        </w:rPr>
        <w:t>97.60</w:t>
      </w:r>
      <w:r>
        <w:rPr>
          <w:rFonts w:hint="default" w:ascii="Times New Roman" w:hAnsi="Times New Roman" w:eastAsia="仿宋_GB2312" w:cs="Times New Roman"/>
          <w:color w:val="000000"/>
          <w:kern w:val="0"/>
          <w:sz w:val="32"/>
          <w:szCs w:val="32"/>
          <w:lang w:val="zh-CN"/>
        </w:rPr>
        <w:t>分（</w:t>
      </w:r>
      <w:r>
        <w:rPr>
          <w:rFonts w:hint="default" w:ascii="Times New Roman" w:hAnsi="Times New Roman" w:eastAsia="仿宋_GB2312" w:cs="Times New Roman"/>
          <w:color w:val="000000"/>
          <w:kern w:val="0"/>
          <w:sz w:val="32"/>
          <w:szCs w:val="32"/>
          <w:lang w:bidi="ar"/>
        </w:rPr>
        <w:t>一级指标分值见图1，项目指标得分见</w:t>
      </w:r>
      <w:r>
        <w:rPr>
          <w:rFonts w:hint="default" w:ascii="Times New Roman" w:hAnsi="Times New Roman" w:eastAsia="仿宋_GB2312" w:cs="Times New Roman"/>
          <w:color w:val="000000"/>
          <w:kern w:val="0"/>
          <w:sz w:val="32"/>
          <w:szCs w:val="32"/>
          <w:lang w:val="zh-CN"/>
        </w:rPr>
        <w:t>见表</w:t>
      </w:r>
      <w:r>
        <w:rPr>
          <w:rFonts w:hint="default" w:ascii="Times New Roman" w:hAnsi="Times New Roman" w:eastAsia="仿宋_GB2312" w:cs="Times New Roman"/>
          <w:color w:val="000000"/>
          <w:kern w:val="0"/>
          <w:sz w:val="32"/>
          <w:szCs w:val="32"/>
        </w:rPr>
        <w:t>6</w:t>
      </w:r>
      <w:r>
        <w:rPr>
          <w:rFonts w:hint="default" w:ascii="Times New Roman" w:hAnsi="Times New Roman" w:eastAsia="仿宋_GB2312" w:cs="Times New Roman"/>
          <w:color w:val="000000"/>
          <w:kern w:val="0"/>
          <w:sz w:val="32"/>
          <w:szCs w:val="32"/>
          <w:lang w:val="zh-CN"/>
        </w:rPr>
        <w:t>），绩效等级为“优”。</w:t>
      </w:r>
    </w:p>
    <w:p>
      <w:pPr>
        <w:widowControl/>
        <w:spacing w:line="360" w:lineRule="exact"/>
        <w:jc w:val="center"/>
        <w:rPr>
          <w:rFonts w:hint="default" w:ascii="Times New Roman" w:hAnsi="Times New Roman" w:eastAsia="仿宋_GB2312" w:cs="Times New Roman"/>
          <w:b/>
          <w:color w:val="000000"/>
          <w:kern w:val="0"/>
          <w:sz w:val="32"/>
          <w:szCs w:val="32"/>
          <w:lang w:val="zh-CN"/>
        </w:rPr>
      </w:pPr>
      <w:r>
        <w:rPr>
          <w:rFonts w:hint="default" w:ascii="Times New Roman" w:hAnsi="Times New Roman" w:eastAsia="仿宋_GB2312" w:cs="Times New Roman"/>
          <w:b/>
          <w:color w:val="000000"/>
          <w:kern w:val="0"/>
          <w:sz w:val="32"/>
          <w:szCs w:val="32"/>
          <w:lang w:val="zh-CN"/>
        </w:rPr>
        <w:t>表</w:t>
      </w:r>
      <w:r>
        <w:rPr>
          <w:rFonts w:hint="default" w:ascii="Times New Roman" w:hAnsi="Times New Roman" w:eastAsia="仿宋_GB2312" w:cs="Times New Roman"/>
          <w:b/>
          <w:color w:val="000000"/>
          <w:kern w:val="0"/>
          <w:sz w:val="32"/>
          <w:szCs w:val="32"/>
        </w:rPr>
        <w:t>6</w:t>
      </w:r>
      <w:r>
        <w:rPr>
          <w:rFonts w:hint="default" w:ascii="Times New Roman" w:hAnsi="Times New Roman" w:eastAsia="仿宋_GB2312" w:cs="Times New Roman"/>
          <w:b/>
          <w:color w:val="000000"/>
          <w:kern w:val="0"/>
          <w:sz w:val="32"/>
          <w:szCs w:val="32"/>
          <w:lang w:val="zh-CN"/>
        </w:rPr>
        <w:t>：</w:t>
      </w:r>
      <w:r>
        <w:rPr>
          <w:rFonts w:hint="default" w:ascii="Times New Roman" w:hAnsi="Times New Roman" w:eastAsia="仿宋_GB2312" w:cs="Times New Roman"/>
          <w:b/>
          <w:color w:val="000000"/>
          <w:kern w:val="0"/>
          <w:sz w:val="32"/>
          <w:szCs w:val="32"/>
        </w:rPr>
        <w:t>绩效</w:t>
      </w:r>
      <w:r>
        <w:rPr>
          <w:rFonts w:hint="default" w:ascii="Times New Roman" w:hAnsi="Times New Roman" w:eastAsia="仿宋_GB2312" w:cs="Times New Roman"/>
          <w:b/>
          <w:color w:val="000000"/>
          <w:kern w:val="0"/>
          <w:sz w:val="32"/>
          <w:szCs w:val="32"/>
          <w:lang w:val="zh-CN"/>
        </w:rPr>
        <w:t>指标</w:t>
      </w:r>
      <w:r>
        <w:rPr>
          <w:rFonts w:hint="default" w:ascii="Times New Roman" w:hAnsi="Times New Roman" w:eastAsia="仿宋_GB2312" w:cs="Times New Roman"/>
          <w:b/>
          <w:color w:val="000000"/>
          <w:kern w:val="0"/>
          <w:sz w:val="32"/>
          <w:szCs w:val="32"/>
        </w:rPr>
        <w:t>自评</w:t>
      </w:r>
      <w:r>
        <w:rPr>
          <w:rFonts w:hint="default" w:ascii="Times New Roman" w:hAnsi="Times New Roman" w:eastAsia="仿宋_GB2312" w:cs="Times New Roman"/>
          <w:b/>
          <w:color w:val="000000"/>
          <w:kern w:val="0"/>
          <w:sz w:val="32"/>
          <w:szCs w:val="32"/>
          <w:lang w:val="zh-CN"/>
        </w:rPr>
        <w:t>得分表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267"/>
        <w:gridCol w:w="1877"/>
        <w:gridCol w:w="2490"/>
        <w:gridCol w:w="897"/>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72" w:type="dxa"/>
            <w:tcBorders>
              <w:top w:val="single" w:color="auto" w:sz="4" w:space="0"/>
              <w:left w:val="single" w:color="auto" w:sz="4" w:space="0"/>
              <w:bottom w:val="single" w:color="auto" w:sz="4" w:space="0"/>
              <w:right w:val="single" w:color="auto" w:sz="4" w:space="0"/>
              <w:tl2br w:val="nil"/>
              <w:tr2bl w:val="nil"/>
            </w:tcBorders>
            <w:shd w:val="clear" w:color="auto" w:fill="FBD4B4"/>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一级指标</w:t>
            </w:r>
          </w:p>
        </w:tc>
        <w:tc>
          <w:tcPr>
            <w:tcW w:w="1267" w:type="dxa"/>
            <w:tcBorders>
              <w:top w:val="single" w:color="auto" w:sz="4" w:space="0"/>
              <w:left w:val="nil"/>
              <w:bottom w:val="single" w:color="auto" w:sz="4" w:space="0"/>
              <w:right w:val="single" w:color="auto" w:sz="4" w:space="0"/>
              <w:tl2br w:val="nil"/>
              <w:tr2bl w:val="nil"/>
            </w:tcBorders>
            <w:shd w:val="clear" w:color="auto" w:fill="FBD4B4"/>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二级指标</w:t>
            </w:r>
          </w:p>
        </w:tc>
        <w:tc>
          <w:tcPr>
            <w:tcW w:w="1877" w:type="dxa"/>
            <w:tcBorders>
              <w:top w:val="single" w:color="auto" w:sz="4" w:space="0"/>
              <w:left w:val="nil"/>
              <w:bottom w:val="single" w:color="auto" w:sz="4" w:space="0"/>
              <w:right w:val="single" w:color="auto" w:sz="4" w:space="0"/>
              <w:tl2br w:val="nil"/>
              <w:tr2bl w:val="nil"/>
            </w:tcBorders>
            <w:shd w:val="clear" w:color="auto" w:fill="FBD4B4"/>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三级指标</w:t>
            </w:r>
          </w:p>
        </w:tc>
        <w:tc>
          <w:tcPr>
            <w:tcW w:w="2490" w:type="dxa"/>
            <w:tcBorders>
              <w:top w:val="single" w:color="auto" w:sz="4" w:space="0"/>
              <w:left w:val="nil"/>
              <w:bottom w:val="single" w:color="auto" w:sz="4" w:space="0"/>
              <w:right w:val="single" w:color="auto" w:sz="4" w:space="0"/>
              <w:tl2br w:val="nil"/>
              <w:tr2bl w:val="nil"/>
            </w:tcBorders>
            <w:shd w:val="clear" w:color="auto" w:fill="FBD4B4"/>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四级指标</w:t>
            </w:r>
          </w:p>
        </w:tc>
        <w:tc>
          <w:tcPr>
            <w:tcW w:w="897" w:type="dxa"/>
            <w:tcBorders>
              <w:top w:val="single" w:color="auto" w:sz="4" w:space="0"/>
              <w:left w:val="single" w:color="auto" w:sz="4" w:space="0"/>
              <w:bottom w:val="single" w:color="auto" w:sz="4" w:space="0"/>
              <w:right w:val="single" w:color="auto" w:sz="4" w:space="0"/>
              <w:tl2br w:val="nil"/>
              <w:tr2bl w:val="nil"/>
            </w:tcBorders>
            <w:shd w:val="clear" w:color="auto" w:fill="FBD4B4"/>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权重(%)</w:t>
            </w:r>
          </w:p>
        </w:tc>
        <w:tc>
          <w:tcPr>
            <w:tcW w:w="919" w:type="dxa"/>
            <w:tcBorders>
              <w:top w:val="single" w:color="auto" w:sz="4" w:space="0"/>
              <w:left w:val="single" w:color="auto" w:sz="4" w:space="0"/>
              <w:bottom w:val="single" w:color="auto" w:sz="4" w:space="0"/>
              <w:right w:val="single" w:color="auto" w:sz="4" w:space="0"/>
              <w:tl2br w:val="nil"/>
              <w:tr2bl w:val="nil"/>
            </w:tcBorders>
            <w:shd w:val="clear" w:color="auto" w:fill="FBD4B4"/>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706" w:type="dxa"/>
            <w:gridSpan w:val="4"/>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合计</w:t>
            </w:r>
          </w:p>
        </w:tc>
        <w:tc>
          <w:tcPr>
            <w:tcW w:w="897"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100</w:t>
            </w:r>
          </w:p>
        </w:tc>
        <w:tc>
          <w:tcPr>
            <w:tcW w:w="919"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72"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投入</w:t>
            </w:r>
          </w:p>
        </w:tc>
        <w:tc>
          <w:tcPr>
            <w:tcW w:w="126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项目立项</w:t>
            </w:r>
          </w:p>
        </w:tc>
        <w:tc>
          <w:tcPr>
            <w:tcW w:w="187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论证决策</w:t>
            </w:r>
          </w:p>
        </w:tc>
        <w:tc>
          <w:tcPr>
            <w:tcW w:w="2490"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论证充分性</w:t>
            </w:r>
          </w:p>
        </w:tc>
        <w:tc>
          <w:tcPr>
            <w:tcW w:w="89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w:t>
            </w:r>
          </w:p>
        </w:tc>
        <w:tc>
          <w:tcPr>
            <w:tcW w:w="919"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7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87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目标设置</w:t>
            </w:r>
          </w:p>
        </w:tc>
        <w:tc>
          <w:tcPr>
            <w:tcW w:w="2490"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完整性</w:t>
            </w:r>
          </w:p>
        </w:tc>
        <w:tc>
          <w:tcPr>
            <w:tcW w:w="89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p>
        </w:tc>
        <w:tc>
          <w:tcPr>
            <w:tcW w:w="919"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7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87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2490"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合理性</w:t>
            </w:r>
          </w:p>
        </w:tc>
        <w:tc>
          <w:tcPr>
            <w:tcW w:w="89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p>
        </w:tc>
        <w:tc>
          <w:tcPr>
            <w:tcW w:w="919"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7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87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2490"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可衡量性</w:t>
            </w:r>
          </w:p>
        </w:tc>
        <w:tc>
          <w:tcPr>
            <w:tcW w:w="89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p>
        </w:tc>
        <w:tc>
          <w:tcPr>
            <w:tcW w:w="919"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7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87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保障措施</w:t>
            </w:r>
          </w:p>
        </w:tc>
        <w:tc>
          <w:tcPr>
            <w:tcW w:w="2490"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 制度完整性</w:t>
            </w:r>
          </w:p>
        </w:tc>
        <w:tc>
          <w:tcPr>
            <w:tcW w:w="89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p>
        </w:tc>
        <w:tc>
          <w:tcPr>
            <w:tcW w:w="919"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07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87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2490"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ind w:left="512" w:leftChars="69" w:hanging="303" w:hangingChars="100"/>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计划安排合理性</w:t>
            </w:r>
          </w:p>
        </w:tc>
        <w:tc>
          <w:tcPr>
            <w:tcW w:w="89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p>
        </w:tc>
        <w:tc>
          <w:tcPr>
            <w:tcW w:w="919"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7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资金落实</w:t>
            </w:r>
          </w:p>
        </w:tc>
        <w:tc>
          <w:tcPr>
            <w:tcW w:w="187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资金到位</w:t>
            </w:r>
          </w:p>
        </w:tc>
        <w:tc>
          <w:tcPr>
            <w:tcW w:w="2490"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资金到位率</w:t>
            </w:r>
          </w:p>
        </w:tc>
        <w:tc>
          <w:tcPr>
            <w:tcW w:w="89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p>
        </w:tc>
        <w:tc>
          <w:tcPr>
            <w:tcW w:w="919"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7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87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2490"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资金到位及时性</w:t>
            </w:r>
          </w:p>
        </w:tc>
        <w:tc>
          <w:tcPr>
            <w:tcW w:w="89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p>
        </w:tc>
        <w:tc>
          <w:tcPr>
            <w:tcW w:w="919"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07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87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资金分配</w:t>
            </w:r>
          </w:p>
        </w:tc>
        <w:tc>
          <w:tcPr>
            <w:tcW w:w="2490"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资金分配合理性</w:t>
            </w:r>
          </w:p>
        </w:tc>
        <w:tc>
          <w:tcPr>
            <w:tcW w:w="89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p>
        </w:tc>
        <w:tc>
          <w:tcPr>
            <w:tcW w:w="919"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7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过程</w:t>
            </w:r>
          </w:p>
        </w:tc>
        <w:tc>
          <w:tcPr>
            <w:tcW w:w="126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资金管理</w:t>
            </w:r>
          </w:p>
        </w:tc>
        <w:tc>
          <w:tcPr>
            <w:tcW w:w="1877"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资金支付</w:t>
            </w:r>
          </w:p>
        </w:tc>
        <w:tc>
          <w:tcPr>
            <w:tcW w:w="2490"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资金支出率</w:t>
            </w:r>
          </w:p>
        </w:tc>
        <w:tc>
          <w:tcPr>
            <w:tcW w:w="897"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877"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支出规范性</w:t>
            </w:r>
          </w:p>
        </w:tc>
        <w:tc>
          <w:tcPr>
            <w:tcW w:w="2490"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支出规范性</w:t>
            </w:r>
          </w:p>
        </w:tc>
        <w:tc>
          <w:tcPr>
            <w:tcW w:w="897"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事项管理</w:t>
            </w:r>
          </w:p>
        </w:tc>
        <w:tc>
          <w:tcPr>
            <w:tcW w:w="1877"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实施程序</w:t>
            </w:r>
          </w:p>
        </w:tc>
        <w:tc>
          <w:tcPr>
            <w:tcW w:w="2490"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程序规范性</w:t>
            </w:r>
          </w:p>
        </w:tc>
        <w:tc>
          <w:tcPr>
            <w:tcW w:w="897"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7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87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管理情况</w:t>
            </w:r>
          </w:p>
        </w:tc>
        <w:tc>
          <w:tcPr>
            <w:tcW w:w="2490"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监管有效性</w:t>
            </w:r>
          </w:p>
        </w:tc>
        <w:tc>
          <w:tcPr>
            <w:tcW w:w="89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w:t>
            </w:r>
          </w:p>
        </w:tc>
        <w:tc>
          <w:tcPr>
            <w:tcW w:w="919"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7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产出</w:t>
            </w:r>
          </w:p>
        </w:tc>
        <w:tc>
          <w:tcPr>
            <w:tcW w:w="1267" w:type="dxa"/>
            <w:vMerge w:val="restart"/>
            <w:tcBorders>
              <w:top w:val="single" w:color="auto" w:sz="4" w:space="0"/>
              <w:left w:val="nil"/>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经济性</w:t>
            </w:r>
          </w:p>
        </w:tc>
        <w:tc>
          <w:tcPr>
            <w:tcW w:w="1877"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预算控制</w:t>
            </w:r>
          </w:p>
        </w:tc>
        <w:tc>
          <w:tcPr>
            <w:tcW w:w="2490"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预算控制</w:t>
            </w:r>
          </w:p>
        </w:tc>
        <w:tc>
          <w:tcPr>
            <w:tcW w:w="897"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continue"/>
            <w:tcBorders>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p>
        </w:tc>
        <w:tc>
          <w:tcPr>
            <w:tcW w:w="1877"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成本控制</w:t>
            </w:r>
          </w:p>
        </w:tc>
        <w:tc>
          <w:tcPr>
            <w:tcW w:w="2490"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成本节约</w:t>
            </w:r>
          </w:p>
        </w:tc>
        <w:tc>
          <w:tcPr>
            <w:tcW w:w="897"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p>
        </w:tc>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0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效率性</w:t>
            </w:r>
          </w:p>
        </w:tc>
        <w:tc>
          <w:tcPr>
            <w:tcW w:w="1877"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完成进度</w:t>
            </w:r>
          </w:p>
        </w:tc>
        <w:tc>
          <w:tcPr>
            <w:tcW w:w="2490"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rPr>
                <w:rFonts w:hint="default" w:ascii="Times New Roman" w:hAnsi="Times New Roman" w:eastAsia="仿宋_GB2312" w:cs="Times New Roman"/>
                <w:color w:val="000000"/>
                <w:kern w:val="0"/>
                <w:sz w:val="32"/>
                <w:szCs w:val="32"/>
                <w:highlight w:val="yellow"/>
              </w:rPr>
            </w:pPr>
            <w:r>
              <w:rPr>
                <w:rFonts w:hint="default" w:ascii="Times New Roman" w:hAnsi="Times New Roman" w:eastAsia="仿宋_GB2312" w:cs="Times New Roman"/>
                <w:color w:val="000000"/>
                <w:sz w:val="32"/>
                <w:szCs w:val="32"/>
              </w:rPr>
              <w:t>百名首席专家下基层计划补助资金省级财政拨付率等</w:t>
            </w:r>
          </w:p>
        </w:tc>
        <w:tc>
          <w:tcPr>
            <w:tcW w:w="897" w:type="dxa"/>
            <w:vMerge w:val="restart"/>
            <w:tcBorders>
              <w:top w:val="single" w:color="auto" w:sz="4" w:space="0"/>
              <w:left w:val="nil"/>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25</w:t>
            </w:r>
          </w:p>
        </w:tc>
        <w:tc>
          <w:tcPr>
            <w:tcW w:w="919" w:type="dxa"/>
            <w:vMerge w:val="restart"/>
            <w:tcBorders>
              <w:top w:val="single" w:color="auto" w:sz="4" w:space="0"/>
              <w:left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完成质量</w:t>
            </w:r>
          </w:p>
        </w:tc>
        <w:tc>
          <w:tcPr>
            <w:tcW w:w="2490"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培训合格率等</w:t>
            </w:r>
          </w:p>
        </w:tc>
        <w:tc>
          <w:tcPr>
            <w:tcW w:w="897" w:type="dxa"/>
            <w:vMerge w:val="continue"/>
            <w:tcBorders>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p>
        </w:tc>
        <w:tc>
          <w:tcPr>
            <w:tcW w:w="919"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72"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效益</w:t>
            </w:r>
          </w:p>
        </w:tc>
        <w:tc>
          <w:tcPr>
            <w:tcW w:w="126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效果性</w:t>
            </w:r>
          </w:p>
        </w:tc>
        <w:tc>
          <w:tcPr>
            <w:tcW w:w="187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经济效益</w:t>
            </w:r>
          </w:p>
        </w:tc>
        <w:tc>
          <w:tcPr>
            <w:tcW w:w="2490"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highlight w:val="yellow"/>
              </w:rPr>
            </w:pPr>
            <w:r>
              <w:rPr>
                <w:rFonts w:hint="default" w:ascii="Times New Roman" w:hAnsi="Times New Roman" w:eastAsia="仿宋_GB2312" w:cs="Times New Roman"/>
                <w:color w:val="000000"/>
                <w:sz w:val="32"/>
                <w:szCs w:val="32"/>
              </w:rPr>
              <w:t>设备采购经济性等</w:t>
            </w:r>
          </w:p>
        </w:tc>
        <w:tc>
          <w:tcPr>
            <w:tcW w:w="897" w:type="dxa"/>
            <w:vMerge w:val="restart"/>
            <w:tcBorders>
              <w:top w:val="nil"/>
              <w:left w:val="nil"/>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25</w:t>
            </w:r>
          </w:p>
        </w:tc>
        <w:tc>
          <w:tcPr>
            <w:tcW w:w="919" w:type="dxa"/>
            <w:vMerge w:val="restart"/>
            <w:tcBorders>
              <w:top w:val="nil"/>
              <w:left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7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社会效益</w:t>
            </w:r>
          </w:p>
        </w:tc>
        <w:tc>
          <w:tcPr>
            <w:tcW w:w="2490" w:type="dxa"/>
            <w:tcBorders>
              <w:top w:val="single" w:color="auto" w:sz="4" w:space="0"/>
              <w:left w:val="nil"/>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highlight w:val="yellow"/>
              </w:rPr>
            </w:pPr>
            <w:r>
              <w:rPr>
                <w:rFonts w:hint="default" w:ascii="Times New Roman" w:hAnsi="Times New Roman" w:eastAsia="仿宋_GB2312" w:cs="Times New Roman"/>
                <w:color w:val="000000"/>
                <w:sz w:val="32"/>
                <w:szCs w:val="32"/>
              </w:rPr>
              <w:t>县域内住院率等</w:t>
            </w:r>
          </w:p>
        </w:tc>
        <w:tc>
          <w:tcPr>
            <w:tcW w:w="897" w:type="dxa"/>
            <w:vMerge w:val="continue"/>
            <w:tcBorders>
              <w:left w:val="nil"/>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p>
        </w:tc>
        <w:tc>
          <w:tcPr>
            <w:tcW w:w="919" w:type="dxa"/>
            <w:vMerge w:val="continue"/>
            <w:tcBorders>
              <w:left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7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877"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可持续发展</w:t>
            </w:r>
          </w:p>
        </w:tc>
        <w:tc>
          <w:tcPr>
            <w:tcW w:w="2490"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highlight w:val="yellow"/>
              </w:rPr>
            </w:pPr>
            <w:r>
              <w:rPr>
                <w:rFonts w:hint="default" w:ascii="Times New Roman" w:hAnsi="Times New Roman" w:eastAsia="仿宋_GB2312" w:cs="Times New Roman"/>
                <w:color w:val="000000"/>
                <w:kern w:val="0"/>
                <w:sz w:val="32"/>
                <w:szCs w:val="32"/>
              </w:rPr>
              <w:t>可持续发展</w:t>
            </w:r>
          </w:p>
        </w:tc>
        <w:tc>
          <w:tcPr>
            <w:tcW w:w="897" w:type="dxa"/>
            <w:vMerge w:val="continue"/>
            <w:tcBorders>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p>
        </w:tc>
        <w:tc>
          <w:tcPr>
            <w:tcW w:w="919"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7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default" w:ascii="Times New Roman" w:hAnsi="Times New Roman" w:eastAsia="仿宋_GB2312" w:cs="Times New Roman"/>
                <w:color w:val="000000"/>
                <w:kern w:val="0"/>
                <w:sz w:val="32"/>
                <w:szCs w:val="32"/>
              </w:rPr>
            </w:pPr>
          </w:p>
        </w:tc>
        <w:tc>
          <w:tcPr>
            <w:tcW w:w="126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公平性</w:t>
            </w:r>
          </w:p>
        </w:tc>
        <w:tc>
          <w:tcPr>
            <w:tcW w:w="187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满意度</w:t>
            </w:r>
          </w:p>
        </w:tc>
        <w:tc>
          <w:tcPr>
            <w:tcW w:w="2490"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服务对象满意度</w:t>
            </w:r>
          </w:p>
        </w:tc>
        <w:tc>
          <w:tcPr>
            <w:tcW w:w="897" w:type="dxa"/>
            <w:tcBorders>
              <w:top w:val="nil"/>
              <w:left w:val="nil"/>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w:t>
            </w:r>
          </w:p>
        </w:tc>
        <w:tc>
          <w:tcPr>
            <w:tcW w:w="919"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w:t>
            </w:r>
          </w:p>
        </w:tc>
      </w:tr>
    </w:tbl>
    <w:p>
      <w:pPr>
        <w:pStyle w:val="2"/>
        <w:rPr>
          <w:rFonts w:hint="default" w:ascii="Times New Roman" w:hAnsi="Times New Roman" w:cs="Times New Roman"/>
          <w:color w:val="000000"/>
          <w:lang w:val="zh-CN"/>
        </w:rPr>
      </w:pPr>
    </w:p>
    <w:p>
      <w:pPr>
        <w:widowControl/>
        <w:spacing w:line="560" w:lineRule="exact"/>
        <w:ind w:firstLine="606" w:firstLineChars="200"/>
        <w:rPr>
          <w:rFonts w:hint="default" w:ascii="Times New Roman" w:hAnsi="Times New Roman" w:eastAsia="仿宋_GB2312" w:cs="Times New Roman"/>
          <w:color w:val="000000"/>
          <w:kern w:val="0"/>
          <w:sz w:val="32"/>
          <w:szCs w:val="32"/>
          <w:lang w:val="zh-CN"/>
        </w:rPr>
      </w:pPr>
      <w:r>
        <w:rPr>
          <w:rFonts w:hint="default" w:ascii="Times New Roman" w:hAnsi="Times New Roman" w:eastAsia="仿宋_GB2312" w:cs="Times New Roman"/>
          <w:color w:val="000000"/>
          <w:kern w:val="0"/>
          <w:sz w:val="32"/>
          <w:szCs w:val="32"/>
          <w:lang w:val="en-US" w:eastAsia="zh-CN"/>
        </w:rPr>
        <w:t xml:space="preserve">            图1：一级指标得分率图</w:t>
      </w:r>
    </w:p>
    <w:p>
      <w:pPr>
        <w:widowControl/>
        <w:rPr>
          <w:rFonts w:hint="default" w:ascii="Times New Roman" w:hAnsi="Times New Roman" w:eastAsia="仿宋_GB2312" w:cs="Times New Roman"/>
          <w:color w:val="000000"/>
          <w:kern w:val="0"/>
          <w:sz w:val="32"/>
          <w:szCs w:val="32"/>
          <w:lang w:val="zh-CN"/>
        </w:rPr>
      </w:pPr>
      <w:r>
        <w:rPr>
          <w:rFonts w:hint="default" w:ascii="Times New Roman" w:hAnsi="Times New Roman" w:eastAsia="仿宋_GB2312" w:cs="Times New Roman"/>
          <w:color w:val="000000"/>
          <w:kern w:val="0"/>
          <w:sz w:val="32"/>
          <w:szCs w:val="32"/>
          <w:lang w:val="zh-CN"/>
        </w:rPr>
        <w:object>
          <v:shape id="_x0000_i1025" o:spt="75" type="#_x0000_t75" style="height:259.5pt;width:411pt;" o:ole="t" filled="f" stroked="f" coordsize="21600,21600" o:gfxdata="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">
            <v:path/>
            <v:fill on="f" focussize="0,0"/>
            <v:stroke on="f"/>
            <v:imagedata r:id="rId9" o:title=""/>
            <o:lock v:ext="edit" aspectratio="t"/>
            <w10:wrap type="none"/>
            <w10:anchorlock/>
          </v:shape>
          <o:OLEObject Type="Embed" ProgID="excel.sheet.8" ShapeID="_x0000_i1025" DrawAspect="Content" ObjectID="_1468075725" r:id="rId8">
            <o:LockedField>false</o:LockedField>
          </o:OLEObject>
        </w:object>
      </w:r>
    </w:p>
    <w:p>
      <w:pPr>
        <w:widowControl/>
        <w:spacing w:beforeLines="0" w:afterLines="0" w:line="560" w:lineRule="exact"/>
        <w:ind w:firstLine="606" w:firstLineChars="200"/>
        <w:rPr>
          <w:rFonts w:hint="default" w:ascii="Times New Roman" w:hAnsi="Times New Roman" w:eastAsia="黑体" w:cs="Times New Roman"/>
          <w:b w:val="0"/>
          <w:bCs w:val="0"/>
          <w:color w:val="000000"/>
          <w:kern w:val="0"/>
          <w:sz w:val="32"/>
          <w:szCs w:val="32"/>
          <w:lang w:bidi="ar"/>
        </w:rPr>
      </w:pPr>
      <w:r>
        <w:rPr>
          <w:rFonts w:hint="default" w:ascii="Times New Roman" w:hAnsi="Times New Roman" w:eastAsia="黑体" w:cs="Times New Roman"/>
          <w:b w:val="0"/>
          <w:bCs w:val="0"/>
          <w:color w:val="000000"/>
          <w:kern w:val="0"/>
          <w:sz w:val="32"/>
          <w:szCs w:val="32"/>
          <w:lang w:bidi="ar"/>
        </w:rPr>
        <w:t>四、</w:t>
      </w:r>
      <w:r>
        <w:rPr>
          <w:rFonts w:hint="default" w:ascii="Times New Roman" w:hAnsi="Times New Roman" w:eastAsia="黑体" w:cs="Times New Roman"/>
          <w:b w:val="0"/>
          <w:bCs w:val="0"/>
          <w:color w:val="000000"/>
          <w:kern w:val="0"/>
          <w:sz w:val="32"/>
          <w:szCs w:val="32"/>
          <w:lang w:eastAsia="zh-CN" w:bidi="ar"/>
        </w:rPr>
        <w:t>项目实施的</w:t>
      </w:r>
      <w:r>
        <w:rPr>
          <w:rFonts w:hint="default" w:ascii="Times New Roman" w:hAnsi="Times New Roman" w:eastAsia="黑体" w:cs="Times New Roman"/>
          <w:b w:val="0"/>
          <w:bCs w:val="0"/>
          <w:color w:val="000000"/>
          <w:kern w:val="0"/>
          <w:sz w:val="32"/>
          <w:szCs w:val="32"/>
          <w:lang w:bidi="ar"/>
        </w:rPr>
        <w:t>主要绩效</w:t>
      </w:r>
    </w:p>
    <w:p>
      <w:pPr>
        <w:widowControl/>
        <w:spacing w:beforeLines="0" w:afterLines="0" w:line="560" w:lineRule="exact"/>
        <w:ind w:firstLine="606"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2019年，通过公开招聘、引进、培养和技术人员下沉等措施，我省基层医疗卫生服务能力建设全面推进，</w:t>
      </w:r>
      <w:r>
        <w:rPr>
          <w:rFonts w:hint="default" w:ascii="Times New Roman" w:hAnsi="Times New Roman" w:eastAsia="仿宋_GB2312" w:cs="Times New Roman"/>
          <w:color w:val="000000"/>
          <w:sz w:val="32"/>
          <w:szCs w:val="32"/>
          <w:lang w:val="en-US" w:eastAsia="zh-CN"/>
        </w:rPr>
        <w:t>全年为欠发达地区培训全科医生6749名、产科医生（含助产士）1158名、儿科医生376名，扩大订单定向医学生招收规模至每年1474名，为47家升级建设中心卫生院招聘符合条件的首席专家100名</w:t>
      </w:r>
      <w:r>
        <w:rPr>
          <w:rFonts w:hint="default" w:ascii="Times New Roman" w:hAnsi="Times New Roman" w:eastAsia="仿宋_GB2312" w:cs="Times New Roman"/>
          <w:color w:val="000000"/>
          <w:sz w:val="32"/>
          <w:szCs w:val="32"/>
        </w:rPr>
        <w:t>全面到岗服务，为解决</w:t>
      </w:r>
      <w:r>
        <w:rPr>
          <w:rFonts w:hint="default" w:ascii="Times New Roman" w:hAnsi="Times New Roman" w:eastAsia="仿宋_GB2312" w:cs="Times New Roman"/>
          <w:color w:val="000000"/>
          <w:sz w:val="32"/>
          <w:szCs w:val="32"/>
          <w:lang w:eastAsia="zh-CN"/>
        </w:rPr>
        <w:t>粤东粤西粤北</w:t>
      </w:r>
      <w:r>
        <w:rPr>
          <w:rFonts w:hint="default" w:ascii="Times New Roman" w:hAnsi="Times New Roman" w:eastAsia="仿宋_GB2312" w:cs="Times New Roman"/>
          <w:color w:val="000000"/>
          <w:sz w:val="32"/>
          <w:szCs w:val="32"/>
        </w:rPr>
        <w:t>基层医疗卫生人才短缺问题起到了积极有效的作用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通过</w:t>
      </w:r>
      <w:r>
        <w:rPr>
          <w:rFonts w:hint="default" w:ascii="Times New Roman" w:hAnsi="Times New Roman" w:eastAsia="仿宋_GB2312" w:cs="Times New Roman"/>
          <w:color w:val="000000"/>
          <w:sz w:val="32"/>
          <w:szCs w:val="32"/>
          <w:lang w:eastAsia="zh-CN"/>
        </w:rPr>
        <w:t>在</w:t>
      </w:r>
      <w:r>
        <w:rPr>
          <w:rFonts w:hint="default" w:ascii="Times New Roman" w:hAnsi="Times New Roman" w:eastAsia="仿宋_GB2312" w:cs="Times New Roman"/>
          <w:color w:val="000000"/>
          <w:sz w:val="32"/>
          <w:szCs w:val="32"/>
        </w:rPr>
        <w:t>全国率先实施连续服务基层10年的中级职称人才直接认定副高级、服务基层业绩突出的博士直接申报正高级</w:t>
      </w:r>
      <w:r>
        <w:rPr>
          <w:rFonts w:hint="default" w:ascii="Times New Roman" w:hAnsi="Times New Roman" w:eastAsia="仿宋_GB2312" w:cs="Times New Roman"/>
          <w:color w:val="000000"/>
          <w:sz w:val="32"/>
          <w:szCs w:val="32"/>
          <w:lang w:eastAsia="zh-CN"/>
        </w:rPr>
        <w:t>等</w:t>
      </w:r>
      <w:r>
        <w:rPr>
          <w:rFonts w:hint="default" w:ascii="Times New Roman" w:hAnsi="Times New Roman" w:eastAsia="仿宋_GB2312" w:cs="Times New Roman"/>
          <w:color w:val="000000"/>
          <w:sz w:val="32"/>
          <w:szCs w:val="32"/>
        </w:rPr>
        <w:t>提高待遇、职称晋升</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手段</w:t>
      </w:r>
      <w:r>
        <w:rPr>
          <w:rFonts w:hint="default" w:ascii="Times New Roman" w:hAnsi="Times New Roman" w:eastAsia="仿宋_GB2312" w:cs="Times New Roman"/>
          <w:color w:val="000000"/>
          <w:sz w:val="32"/>
          <w:szCs w:val="32"/>
          <w:lang w:eastAsia="zh-CN"/>
        </w:rPr>
        <w:t>有效</w:t>
      </w:r>
      <w:r>
        <w:rPr>
          <w:rFonts w:hint="default" w:ascii="Times New Roman" w:hAnsi="Times New Roman" w:eastAsia="仿宋_GB2312" w:cs="Times New Roman"/>
          <w:color w:val="000000"/>
          <w:sz w:val="32"/>
          <w:szCs w:val="32"/>
        </w:rPr>
        <w:t>稳住了基层卫生人才队伍，</w:t>
      </w:r>
      <w:r>
        <w:rPr>
          <w:rFonts w:hint="default" w:ascii="Times New Roman" w:hAnsi="Times New Roman" w:eastAsia="仿宋_GB2312" w:cs="Times New Roman"/>
          <w:color w:val="000000"/>
          <w:sz w:val="32"/>
          <w:szCs w:val="32"/>
          <w:lang w:eastAsia="zh-CN"/>
        </w:rPr>
        <w:t>使得</w:t>
      </w:r>
      <w:r>
        <w:rPr>
          <w:rFonts w:hint="default" w:ascii="Times New Roman" w:hAnsi="Times New Roman" w:eastAsia="仿宋_GB2312" w:cs="Times New Roman"/>
          <w:color w:val="000000"/>
          <w:sz w:val="32"/>
          <w:szCs w:val="32"/>
        </w:rPr>
        <w:t>基层卫生人才队伍进入增量提质新阶段</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napToGrid w:val="0"/>
          <w:color w:val="000000"/>
          <w:kern w:val="0"/>
          <w:sz w:val="32"/>
          <w:szCs w:val="32"/>
          <w:lang w:val="en-US" w:eastAsia="zh-CN"/>
        </w:rPr>
        <w:t>基层人才数量质量持续提升，发展空间进一步拓展</w:t>
      </w:r>
      <w:r>
        <w:rPr>
          <w:rFonts w:hint="default" w:ascii="Times New Roman" w:hAnsi="Times New Roman" w:eastAsia="仿宋_GB2312" w:cs="Times New Roman"/>
          <w:color w:val="000000"/>
          <w:sz w:val="32"/>
          <w:szCs w:val="32"/>
        </w:rPr>
        <w:t>。通过为2277条</w:t>
      </w:r>
      <w:r>
        <w:rPr>
          <w:rFonts w:hint="default" w:ascii="Times New Roman" w:hAnsi="Times New Roman" w:eastAsia="仿宋_GB2312" w:cs="Times New Roman"/>
          <w:color w:val="000000"/>
          <w:sz w:val="32"/>
          <w:szCs w:val="32"/>
          <w:lang w:eastAsia="zh-CN"/>
        </w:rPr>
        <w:t>省定</w:t>
      </w:r>
      <w:r>
        <w:rPr>
          <w:rFonts w:hint="default" w:ascii="Times New Roman" w:hAnsi="Times New Roman" w:eastAsia="仿宋_GB2312" w:cs="Times New Roman"/>
          <w:color w:val="000000"/>
          <w:sz w:val="32"/>
          <w:szCs w:val="32"/>
        </w:rPr>
        <w:t>贫困村配置8类智能健康监测设备，</w:t>
      </w:r>
      <w:r>
        <w:rPr>
          <w:rFonts w:hint="default" w:ascii="Times New Roman" w:hAnsi="Times New Roman" w:eastAsia="仿宋_GB2312" w:cs="Times New Roman"/>
          <w:color w:val="000000"/>
          <w:sz w:val="32"/>
          <w:szCs w:val="32"/>
          <w:lang w:eastAsia="zh-CN"/>
        </w:rPr>
        <w:t>实现</w:t>
      </w:r>
      <w:r>
        <w:rPr>
          <w:rFonts w:hint="default" w:ascii="Times New Roman" w:hAnsi="Times New Roman" w:eastAsia="仿宋_GB2312" w:cs="Times New Roman"/>
          <w:color w:val="000000"/>
          <w:sz w:val="32"/>
          <w:szCs w:val="32"/>
        </w:rPr>
        <w:t>“健康扶贫AI医生进乡村”全面上线</w:t>
      </w:r>
      <w:r>
        <w:rPr>
          <w:rFonts w:hint="default" w:ascii="Times New Roman" w:hAnsi="Times New Roman" w:eastAsia="仿宋_GB2312" w:cs="Times New Roman"/>
          <w:color w:val="000000"/>
          <w:sz w:val="32"/>
          <w:szCs w:val="32"/>
          <w:lang w:eastAsia="zh-CN"/>
        </w:rPr>
        <w:t>使用</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有效改善贫困村群众看病就医条件，提升基层医疗卫生服务能力，</w:t>
      </w:r>
      <w:r>
        <w:rPr>
          <w:rFonts w:hint="default" w:ascii="Times New Roman" w:hAnsi="Times New Roman" w:eastAsia="仿宋_GB2312" w:cs="Times New Roman"/>
          <w:color w:val="000000"/>
          <w:sz w:val="32"/>
          <w:szCs w:val="32"/>
        </w:rPr>
        <w:t>高标准完成</w:t>
      </w:r>
      <w:r>
        <w:rPr>
          <w:rFonts w:hint="default" w:ascii="Times New Roman" w:hAnsi="Times New Roman" w:eastAsia="仿宋_GB2312" w:cs="Times New Roman"/>
          <w:color w:val="000000"/>
          <w:sz w:val="32"/>
          <w:szCs w:val="32"/>
          <w:lang w:eastAsia="zh-CN"/>
        </w:rPr>
        <w:t>了</w:t>
      </w:r>
      <w:r>
        <w:rPr>
          <w:rFonts w:hint="default" w:ascii="Times New Roman" w:hAnsi="Times New Roman" w:eastAsia="仿宋_GB2312" w:cs="Times New Roman"/>
          <w:color w:val="000000"/>
          <w:sz w:val="32"/>
          <w:szCs w:val="32"/>
        </w:rPr>
        <w:t>省政府2019年</w:t>
      </w:r>
      <w:r>
        <w:rPr>
          <w:rFonts w:hint="default" w:ascii="Times New Roman" w:hAnsi="Times New Roman" w:eastAsia="仿宋_GB2312" w:cs="Times New Roman"/>
          <w:color w:val="000000"/>
          <w:sz w:val="32"/>
          <w:szCs w:val="32"/>
          <w:lang w:eastAsia="zh-CN"/>
        </w:rPr>
        <w:t>度省级</w:t>
      </w:r>
      <w:r>
        <w:rPr>
          <w:rFonts w:hint="default" w:ascii="Times New Roman" w:hAnsi="Times New Roman" w:eastAsia="仿宋_GB2312" w:cs="Times New Roman"/>
          <w:color w:val="000000"/>
          <w:sz w:val="32"/>
          <w:szCs w:val="32"/>
        </w:rPr>
        <w:t>民生实事</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kern w:val="0"/>
          <w:sz w:val="32"/>
          <w:szCs w:val="32"/>
          <w:lang w:bidi="ar"/>
        </w:rPr>
        <w:t>基层医疗人才队伍和服务能力建设</w:t>
      </w:r>
      <w:r>
        <w:rPr>
          <w:rFonts w:hint="default" w:ascii="Times New Roman" w:hAnsi="Times New Roman" w:eastAsia="仿宋_GB2312" w:cs="Times New Roman"/>
          <w:color w:val="000000"/>
          <w:kern w:val="0"/>
          <w:sz w:val="32"/>
          <w:szCs w:val="32"/>
          <w:lang w:eastAsia="zh-CN" w:bidi="ar"/>
        </w:rPr>
        <w:t>项目</w:t>
      </w:r>
      <w:r>
        <w:rPr>
          <w:rFonts w:hint="default" w:ascii="Times New Roman" w:hAnsi="Times New Roman" w:eastAsia="仿宋_GB2312" w:cs="Times New Roman"/>
          <w:color w:val="000000"/>
          <w:sz w:val="32"/>
          <w:szCs w:val="32"/>
        </w:rPr>
        <w:t>任务。</w:t>
      </w:r>
    </w:p>
    <w:p>
      <w:pPr>
        <w:spacing w:beforeLines="0" w:afterLines="0" w:line="560" w:lineRule="exact"/>
        <w:ind w:firstLine="606" w:firstLineChars="200"/>
        <w:rPr>
          <w:rFonts w:hint="default" w:ascii="Times New Roman" w:hAnsi="Times New Roman" w:eastAsia="楷体_GB2312" w:cs="Times New Roman"/>
          <w:b w:val="0"/>
          <w:bCs w:val="0"/>
          <w:color w:val="000000"/>
          <w:sz w:val="32"/>
          <w:szCs w:val="32"/>
          <w:lang w:eastAsia="zh-CN"/>
        </w:rPr>
      </w:pPr>
      <w:r>
        <w:rPr>
          <w:rFonts w:hint="default" w:ascii="Times New Roman" w:hAnsi="Times New Roman" w:eastAsia="楷体_GB2312" w:cs="Times New Roman"/>
          <w:b w:val="0"/>
          <w:bCs w:val="0"/>
          <w:color w:val="000000"/>
          <w:kern w:val="0"/>
          <w:sz w:val="32"/>
          <w:szCs w:val="32"/>
          <w:lang w:bidi="ar"/>
        </w:rPr>
        <w:t>（一）</w:t>
      </w:r>
      <w:r>
        <w:rPr>
          <w:rFonts w:hint="default" w:ascii="Times New Roman" w:hAnsi="Times New Roman" w:eastAsia="楷体_GB2312" w:cs="Times New Roman"/>
          <w:b w:val="0"/>
          <w:bCs w:val="0"/>
          <w:color w:val="000000"/>
          <w:sz w:val="32"/>
          <w:szCs w:val="32"/>
        </w:rPr>
        <w:t>与</w:t>
      </w:r>
      <w:r>
        <w:rPr>
          <w:rFonts w:hint="default" w:ascii="Times New Roman" w:hAnsi="Times New Roman" w:eastAsia="楷体_GB2312" w:cs="Times New Roman"/>
          <w:b w:val="0"/>
          <w:bCs w:val="0"/>
          <w:color w:val="000000"/>
          <w:sz w:val="32"/>
          <w:szCs w:val="32"/>
          <w:lang w:eastAsia="zh-CN"/>
        </w:rPr>
        <w:t>全</w:t>
      </w:r>
      <w:r>
        <w:rPr>
          <w:rFonts w:hint="default" w:ascii="Times New Roman" w:hAnsi="Times New Roman" w:eastAsia="楷体_GB2312" w:cs="Times New Roman"/>
          <w:b w:val="0"/>
          <w:bCs w:val="0"/>
          <w:color w:val="000000"/>
          <w:sz w:val="32"/>
          <w:szCs w:val="32"/>
        </w:rPr>
        <w:t>省人民健康服务需求相适应的基层卫生人才保障机制初步形成</w:t>
      </w:r>
      <w:r>
        <w:rPr>
          <w:rFonts w:hint="default" w:ascii="Times New Roman" w:hAnsi="Times New Roman" w:eastAsia="楷体_GB2312" w:cs="Times New Roman"/>
          <w:b w:val="0"/>
          <w:bCs w:val="0"/>
          <w:color w:val="000000"/>
          <w:sz w:val="32"/>
          <w:szCs w:val="32"/>
          <w:lang w:bidi="ar"/>
        </w:rPr>
        <w:t>，基层</w:t>
      </w:r>
      <w:r>
        <w:rPr>
          <w:rFonts w:hint="default" w:ascii="Times New Roman" w:hAnsi="Times New Roman" w:eastAsia="楷体_GB2312" w:cs="Times New Roman"/>
          <w:b w:val="0"/>
          <w:bCs w:val="0"/>
          <w:color w:val="000000"/>
          <w:sz w:val="32"/>
          <w:szCs w:val="32"/>
          <w:shd w:val="clear" w:color="auto" w:fill="FFFFFF"/>
        </w:rPr>
        <w:t>整体</w:t>
      </w:r>
      <w:r>
        <w:rPr>
          <w:rFonts w:hint="default" w:ascii="Times New Roman" w:hAnsi="Times New Roman" w:eastAsia="楷体_GB2312" w:cs="Times New Roman"/>
          <w:b w:val="0"/>
          <w:bCs w:val="0"/>
          <w:color w:val="000000"/>
          <w:sz w:val="32"/>
          <w:szCs w:val="32"/>
          <w:lang w:bidi="ar"/>
        </w:rPr>
        <w:t>医疗服务水平</w:t>
      </w:r>
      <w:r>
        <w:rPr>
          <w:rFonts w:hint="default" w:ascii="Times New Roman" w:hAnsi="Times New Roman" w:eastAsia="楷体_GB2312" w:cs="Times New Roman"/>
          <w:b w:val="0"/>
          <w:bCs w:val="0"/>
          <w:color w:val="000000"/>
          <w:sz w:val="32"/>
          <w:szCs w:val="32"/>
          <w:shd w:val="clear" w:color="auto" w:fill="FFFFFF"/>
        </w:rPr>
        <w:t>持续提升</w:t>
      </w:r>
      <w:r>
        <w:rPr>
          <w:rFonts w:hint="default" w:ascii="Times New Roman" w:hAnsi="Times New Roman" w:eastAsia="楷体_GB2312" w:cs="Times New Roman"/>
          <w:b w:val="0"/>
          <w:bCs w:val="0"/>
          <w:color w:val="000000"/>
          <w:sz w:val="32"/>
          <w:szCs w:val="32"/>
          <w:shd w:val="clear" w:color="auto" w:fill="FFFFFF"/>
          <w:lang w:eastAsia="zh-CN"/>
        </w:rPr>
        <w:t>。</w:t>
      </w:r>
    </w:p>
    <w:p>
      <w:pPr>
        <w:widowControl/>
        <w:spacing w:beforeLines="0" w:afterLines="0" w:line="560" w:lineRule="exact"/>
        <w:ind w:firstLine="606"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按照</w:t>
      </w:r>
      <w:r>
        <w:rPr>
          <w:rFonts w:hint="default" w:ascii="Times New Roman" w:hAnsi="Times New Roman" w:eastAsia="仿宋_GB2312" w:cs="Times New Roman"/>
          <w:color w:val="000000"/>
          <w:sz w:val="32"/>
          <w:szCs w:val="32"/>
        </w:rPr>
        <w:t>省委、省政府加强基层医疗卫生服务能力建设的</w:t>
      </w:r>
      <w:r>
        <w:rPr>
          <w:rFonts w:hint="default" w:ascii="Times New Roman" w:hAnsi="Times New Roman" w:eastAsia="仿宋_GB2312" w:cs="Times New Roman"/>
          <w:color w:val="000000"/>
          <w:sz w:val="32"/>
          <w:szCs w:val="32"/>
          <w:lang w:eastAsia="zh-CN"/>
        </w:rPr>
        <w:t>工作部署</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我委</w:t>
      </w:r>
      <w:r>
        <w:rPr>
          <w:rFonts w:hint="default" w:ascii="Times New Roman" w:hAnsi="Times New Roman" w:eastAsia="仿宋_GB2312" w:cs="Times New Roman"/>
          <w:color w:val="000000"/>
          <w:sz w:val="32"/>
          <w:szCs w:val="32"/>
        </w:rPr>
        <w:t>主动谋划</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精准摸清基层</w:t>
      </w:r>
      <w:r>
        <w:rPr>
          <w:rFonts w:hint="default" w:ascii="Times New Roman" w:hAnsi="Times New Roman" w:eastAsia="仿宋_GB2312" w:cs="Times New Roman"/>
          <w:color w:val="000000"/>
          <w:sz w:val="32"/>
          <w:szCs w:val="32"/>
          <w:lang w:eastAsia="zh-CN"/>
        </w:rPr>
        <w:t>医疗卫生资源</w:t>
      </w:r>
      <w:r>
        <w:rPr>
          <w:rFonts w:hint="default" w:ascii="Times New Roman" w:hAnsi="Times New Roman" w:eastAsia="仿宋_GB2312" w:cs="Times New Roman"/>
          <w:color w:val="000000"/>
          <w:sz w:val="32"/>
          <w:szCs w:val="32"/>
        </w:rPr>
        <w:t>底数，尤其是</w:t>
      </w:r>
      <w:r>
        <w:rPr>
          <w:rFonts w:hint="default" w:ascii="Times New Roman" w:hAnsi="Times New Roman" w:eastAsia="仿宋_GB2312" w:cs="Times New Roman"/>
          <w:color w:val="000000"/>
          <w:sz w:val="32"/>
          <w:szCs w:val="32"/>
          <w:lang w:eastAsia="zh-CN"/>
        </w:rPr>
        <w:t>迅速掌握</w:t>
      </w:r>
      <w:r>
        <w:rPr>
          <w:rFonts w:hint="default" w:ascii="Times New Roman" w:hAnsi="Times New Roman" w:eastAsia="仿宋_GB2312" w:cs="Times New Roman"/>
          <w:color w:val="000000"/>
          <w:sz w:val="32"/>
          <w:szCs w:val="32"/>
        </w:rPr>
        <w:t>基层卫生人才存量、结构以及能力等实际</w:t>
      </w:r>
      <w:r>
        <w:rPr>
          <w:rFonts w:hint="default" w:ascii="Times New Roman" w:hAnsi="Times New Roman" w:eastAsia="仿宋_GB2312" w:cs="Times New Roman"/>
          <w:color w:val="000000"/>
          <w:sz w:val="32"/>
          <w:szCs w:val="32"/>
          <w:lang w:eastAsia="zh-CN"/>
        </w:rPr>
        <w:t>情况</w:t>
      </w:r>
      <w:r>
        <w:rPr>
          <w:rFonts w:hint="default" w:ascii="Times New Roman" w:hAnsi="Times New Roman" w:eastAsia="仿宋_GB2312" w:cs="Times New Roman"/>
          <w:color w:val="000000"/>
          <w:sz w:val="32"/>
          <w:szCs w:val="32"/>
        </w:rPr>
        <w:t>，通过医技专业培训、提高待遇、职称晋升等激发广大医务人员积极性的保障政策措施，极大地稳定了</w:t>
      </w:r>
      <w:r>
        <w:rPr>
          <w:rFonts w:hint="default" w:ascii="Times New Roman" w:hAnsi="Times New Roman" w:eastAsia="仿宋_GB2312" w:cs="Times New Roman"/>
          <w:color w:val="000000"/>
          <w:sz w:val="32"/>
          <w:szCs w:val="32"/>
          <w:lang w:eastAsia="zh-CN"/>
        </w:rPr>
        <w:t>粤东粤西粤北</w:t>
      </w:r>
      <w:r>
        <w:rPr>
          <w:rFonts w:hint="default" w:ascii="Times New Roman" w:hAnsi="Times New Roman" w:eastAsia="仿宋_GB2312" w:cs="Times New Roman"/>
          <w:color w:val="000000"/>
          <w:sz w:val="32"/>
          <w:szCs w:val="32"/>
        </w:rPr>
        <w:t>经济欠发达地区的基层医疗卫生人才队伍，引人留人的效果逐步显现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为推进家庭医生签约服务和分级诊疗制度等卫生健康事业改革打下坚实</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基础。据统计，2017</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2019年底，累计培训</w:t>
      </w:r>
      <w:r>
        <w:rPr>
          <w:rFonts w:hint="default" w:ascii="Times New Roman" w:hAnsi="Times New Roman" w:eastAsia="仿宋_GB2312" w:cs="Times New Roman"/>
          <w:color w:val="000000"/>
          <w:sz w:val="32"/>
          <w:szCs w:val="32"/>
          <w:lang w:eastAsia="zh-CN"/>
        </w:rPr>
        <w:t>粤东粤西粤北</w:t>
      </w:r>
      <w:r>
        <w:rPr>
          <w:rFonts w:hint="default" w:ascii="Times New Roman" w:hAnsi="Times New Roman" w:eastAsia="仿宋_GB2312" w:cs="Times New Roman"/>
          <w:color w:val="000000"/>
          <w:sz w:val="32"/>
          <w:szCs w:val="32"/>
        </w:rPr>
        <w:t>地区基层医疗卫生人才</w:t>
      </w:r>
      <w:r>
        <w:rPr>
          <w:rFonts w:hint="eastAsia" w:ascii="Times New Roman" w:hAnsi="Times New Roman" w:eastAsia="仿宋_GB2312" w:cs="Times New Roman"/>
          <w:color w:val="000000"/>
          <w:sz w:val="32"/>
          <w:szCs w:val="32"/>
          <w:lang w:val="en-US" w:eastAsia="zh-CN"/>
        </w:rPr>
        <w:t>38980</w:t>
      </w:r>
      <w:r>
        <w:rPr>
          <w:rFonts w:hint="default" w:ascii="Times New Roman" w:hAnsi="Times New Roman" w:eastAsia="仿宋_GB2312" w:cs="Times New Roman"/>
          <w:color w:val="000000"/>
          <w:sz w:val="32"/>
          <w:szCs w:val="32"/>
        </w:rPr>
        <w:t>名（见图2、表7），其中，招收住院医师规范化培训对象（社会人学员）</w:t>
      </w:r>
      <w:r>
        <w:rPr>
          <w:rFonts w:hint="eastAsia" w:ascii="Times New Roman" w:hAnsi="Times New Roman" w:eastAsia="仿宋_GB2312" w:cs="Times New Roman"/>
          <w:color w:val="000000"/>
          <w:sz w:val="32"/>
          <w:szCs w:val="32"/>
          <w:lang w:val="en-US" w:eastAsia="zh-CN"/>
        </w:rPr>
        <w:t>10568</w:t>
      </w:r>
      <w:r>
        <w:rPr>
          <w:rFonts w:hint="default" w:ascii="Times New Roman" w:hAnsi="Times New Roman" w:eastAsia="仿宋_GB2312" w:cs="Times New Roman"/>
          <w:color w:val="000000"/>
          <w:sz w:val="32"/>
          <w:szCs w:val="32"/>
        </w:rPr>
        <w:t>名，住院骨干师资</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000名，全科医生</w:t>
      </w:r>
      <w:r>
        <w:rPr>
          <w:rFonts w:hint="default" w:ascii="Times New Roman" w:hAnsi="Times New Roman" w:eastAsia="仿宋_GB2312" w:cs="Times New Roman"/>
          <w:color w:val="000000"/>
          <w:sz w:val="32"/>
          <w:szCs w:val="32"/>
          <w:lang w:val="en-US" w:eastAsia="zh-CN"/>
        </w:rPr>
        <w:t>17541</w:t>
      </w:r>
      <w:r>
        <w:rPr>
          <w:rFonts w:hint="default" w:ascii="Times New Roman" w:hAnsi="Times New Roman" w:eastAsia="仿宋_GB2312" w:cs="Times New Roman"/>
          <w:color w:val="000000"/>
          <w:sz w:val="32"/>
          <w:szCs w:val="32"/>
        </w:rPr>
        <w:t>名，招收订单定向医学生招生3</w:t>
      </w:r>
      <w:r>
        <w:rPr>
          <w:rFonts w:hint="eastAsia" w:ascii="Times New Roman" w:hAnsi="Times New Roman" w:eastAsia="仿宋_GB2312" w:cs="Times New Roman"/>
          <w:color w:val="000000"/>
          <w:sz w:val="32"/>
          <w:szCs w:val="32"/>
          <w:lang w:val="en-US" w:eastAsia="zh-CN"/>
        </w:rPr>
        <w:t>375</w:t>
      </w:r>
      <w:r>
        <w:rPr>
          <w:rFonts w:hint="default" w:ascii="Times New Roman" w:hAnsi="Times New Roman" w:eastAsia="仿宋_GB2312" w:cs="Times New Roman"/>
          <w:color w:val="000000"/>
          <w:sz w:val="32"/>
          <w:szCs w:val="32"/>
        </w:rPr>
        <w:t>名，转岗培训</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128名产科医生（含助产士）和</w:t>
      </w:r>
      <w:r>
        <w:rPr>
          <w:rFonts w:hint="eastAsia" w:ascii="Times New Roman" w:hAnsi="Times New Roman" w:eastAsia="仿宋_GB2312" w:cs="Times New Roman"/>
          <w:color w:val="000000"/>
          <w:sz w:val="32"/>
          <w:szCs w:val="32"/>
          <w:lang w:val="en-US" w:eastAsia="zh-CN"/>
        </w:rPr>
        <w:t>109</w:t>
      </w:r>
      <w:r>
        <w:rPr>
          <w:rFonts w:hint="default" w:ascii="Times New Roman" w:hAnsi="Times New Roman" w:eastAsia="仿宋_GB2312" w:cs="Times New Roman"/>
          <w:color w:val="000000"/>
          <w:sz w:val="32"/>
          <w:szCs w:val="32"/>
        </w:rPr>
        <w:t>6名儿科医生，培训家庭医生签约服务骨干师资累计2</w:t>
      </w:r>
      <w:r>
        <w:rPr>
          <w:rFonts w:hint="default" w:ascii="Times New Roman" w:hAnsi="Times New Roman" w:eastAsia="仿宋_GB2312" w:cs="Times New Roman"/>
          <w:color w:val="000000"/>
          <w:sz w:val="32"/>
          <w:szCs w:val="32"/>
          <w:lang w:val="en-US" w:eastAsia="zh-CN"/>
        </w:rPr>
        <w:t>72</w:t>
      </w:r>
      <w:r>
        <w:rPr>
          <w:rFonts w:hint="default" w:ascii="Times New Roman" w:hAnsi="Times New Roman" w:eastAsia="仿宋_GB2312" w:cs="Times New Roman"/>
          <w:color w:val="000000"/>
          <w:sz w:val="32"/>
          <w:szCs w:val="32"/>
        </w:rPr>
        <w:t>名</w:t>
      </w:r>
      <w:r>
        <w:rPr>
          <w:rFonts w:hint="default" w:ascii="Times New Roman" w:hAnsi="Times New Roman" w:eastAsia="仿宋_GB2312" w:cs="Times New Roman"/>
          <w:color w:val="000000"/>
          <w:sz w:val="32"/>
          <w:szCs w:val="32"/>
          <w:lang w:eastAsia="zh-CN"/>
        </w:rPr>
        <w:t>，经过</w:t>
      </w:r>
      <w:r>
        <w:rPr>
          <w:rFonts w:hint="default" w:ascii="Times New Roman" w:hAnsi="Times New Roman" w:eastAsia="仿宋_GB2312" w:cs="Times New Roman"/>
          <w:color w:val="000000"/>
          <w:sz w:val="32"/>
          <w:szCs w:val="32"/>
        </w:rPr>
        <w:t>系统培训，参培人员的医学理论基础和专业知识得到系统提高，临床技能和处置能力均得到系统提升，为下一步推行家庭医生和分级诊疗改革储备了强大的人力资源基础。</w:t>
      </w:r>
      <w:r>
        <w:rPr>
          <w:rFonts w:hint="default" w:ascii="Times New Roman" w:hAnsi="Times New Roman" w:eastAsia="仿宋_GB2312" w:cs="Times New Roman"/>
          <w:color w:val="000000"/>
          <w:sz w:val="32"/>
          <w:szCs w:val="32"/>
          <w:lang w:eastAsia="zh-CN"/>
        </w:rPr>
        <w:t>另外，</w:t>
      </w:r>
      <w:r>
        <w:rPr>
          <w:rFonts w:hint="default" w:ascii="Times New Roman" w:hAnsi="Times New Roman" w:eastAsia="仿宋_GB2312" w:cs="Times New Roman"/>
          <w:color w:val="000000"/>
          <w:sz w:val="32"/>
          <w:szCs w:val="32"/>
        </w:rPr>
        <w:t>累计招聘高校毕业生下基层850名，县级公立医院专科特岗1614名，其中2019招聘300名（中央苏区县和少数民族县共安排特岗80个，其他地区安排220个），1652名城市三甲医院专家下乡支医。特别是为47家升级建设的中心卫生院选聘100名二级以上医院具有高级职称且符合岗位条件的退休医生，在提升中心卫生院常见病、多发病的诊疗，预防保健、康复与慢性病管理、专科疾病危重情况应急处理等方面起到突出</w:t>
      </w:r>
      <w:r>
        <w:rPr>
          <w:rFonts w:hint="default" w:ascii="Times New Roman" w:hAnsi="Times New Roman" w:eastAsia="仿宋_GB2312" w:cs="Times New Roman"/>
          <w:color w:val="000000"/>
          <w:sz w:val="32"/>
          <w:szCs w:val="32"/>
          <w:lang w:val="en-US" w:eastAsia="zh-CN"/>
        </w:rPr>
        <w:t>的引领</w:t>
      </w:r>
      <w:r>
        <w:rPr>
          <w:rFonts w:hint="default" w:ascii="Times New Roman" w:hAnsi="Times New Roman" w:eastAsia="仿宋_GB2312" w:cs="Times New Roman"/>
          <w:color w:val="000000"/>
          <w:sz w:val="32"/>
          <w:szCs w:val="32"/>
        </w:rPr>
        <w:t>作用，基本实现卫生人才规模、结构和能力与</w:t>
      </w:r>
      <w:r>
        <w:rPr>
          <w:rFonts w:hint="default" w:ascii="Times New Roman" w:hAnsi="Times New Roman" w:eastAsia="仿宋_GB2312" w:cs="Times New Roman"/>
          <w:color w:val="000000"/>
          <w:sz w:val="32"/>
          <w:szCs w:val="32"/>
          <w:lang w:eastAsia="zh-CN"/>
        </w:rPr>
        <w:t>粤东粤西粤北</w:t>
      </w:r>
      <w:r>
        <w:rPr>
          <w:rFonts w:hint="default" w:ascii="Times New Roman" w:hAnsi="Times New Roman" w:eastAsia="仿宋_GB2312" w:cs="Times New Roman"/>
          <w:color w:val="000000"/>
          <w:sz w:val="32"/>
          <w:szCs w:val="32"/>
        </w:rPr>
        <w:t>地区人民健康服务需求相适应的机制，基层整体医疗服务水平持续提升，医患关系更加和谐。</w:t>
      </w:r>
    </w:p>
    <w:p>
      <w:pPr>
        <w:spacing w:line="560" w:lineRule="exact"/>
        <w:ind w:firstLine="606" w:firstLineChars="200"/>
        <w:rPr>
          <w:rFonts w:hint="default" w:ascii="Times New Roman" w:hAnsi="Times New Roman" w:cs="Times New Roman"/>
          <w:color w:val="000000"/>
        </w:rPr>
      </w:pPr>
      <w:r>
        <w:rPr>
          <w:rFonts w:hint="default" w:ascii="Times New Roman" w:hAnsi="Times New Roman" w:eastAsia="仿宋_GB2312" w:cs="Times New Roman"/>
          <w:color w:val="000000"/>
          <w:sz w:val="32"/>
          <w:szCs w:val="32"/>
          <w:shd w:val="clear" w:color="auto" w:fill="FFFFFF"/>
          <w:lang w:val="en-US" w:eastAsia="zh-CN"/>
        </w:rPr>
        <w:t>图2:2017-2019年粤东粤西粤北卫生人才培训情况图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drawing>
          <wp:inline distT="0" distB="0" distL="114300" distR="114300">
            <wp:extent cx="5219700" cy="2705100"/>
            <wp:effectExtent l="4445" t="4445" r="14605" b="14605"/>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lang w:eastAsia="zh-CN"/>
        </w:rPr>
      </w:pPr>
    </w:p>
    <w:p>
      <w:pPr>
        <w:spacing w:line="560" w:lineRule="exact"/>
        <w:jc w:val="center"/>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b/>
          <w:bCs/>
          <w:color w:val="000000"/>
          <w:sz w:val="32"/>
          <w:szCs w:val="32"/>
        </w:rPr>
        <w:t>表7：2017年-2019年</w:t>
      </w:r>
      <w:r>
        <w:rPr>
          <w:rFonts w:hint="default" w:ascii="Times New Roman" w:hAnsi="Times New Roman" w:eastAsia="仿宋_GB2312" w:cs="Times New Roman"/>
          <w:b/>
          <w:bCs/>
          <w:color w:val="000000"/>
          <w:sz w:val="32"/>
          <w:szCs w:val="32"/>
          <w:lang w:eastAsia="zh-CN"/>
        </w:rPr>
        <w:t>粤东粤西粤北</w:t>
      </w:r>
      <w:r>
        <w:rPr>
          <w:rFonts w:hint="default" w:ascii="Times New Roman" w:hAnsi="Times New Roman" w:eastAsia="仿宋_GB2312" w:cs="Times New Roman"/>
          <w:b/>
          <w:bCs/>
          <w:color w:val="000000"/>
          <w:sz w:val="32"/>
          <w:szCs w:val="32"/>
          <w:shd w:val="clear" w:color="auto" w:fill="FFFFFF"/>
        </w:rPr>
        <w:t>基层卫生人才培训情况</w:t>
      </w:r>
      <w:r>
        <w:rPr>
          <w:rFonts w:hint="default" w:ascii="Times New Roman" w:hAnsi="Times New Roman" w:eastAsia="仿宋_GB2312" w:cs="Times New Roman"/>
          <w:b/>
          <w:bCs/>
          <w:color w:val="000000"/>
          <w:sz w:val="32"/>
          <w:szCs w:val="32"/>
          <w:shd w:val="clear" w:color="auto" w:fill="FFFFFF"/>
          <w:lang w:eastAsia="zh-CN"/>
        </w:rPr>
        <w:t>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8"/>
        <w:gridCol w:w="1055"/>
        <w:gridCol w:w="1180"/>
        <w:gridCol w:w="1224"/>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3898" w:type="dxa"/>
            <w:shd w:val="clear" w:color="auto" w:fill="FBD4B4"/>
            <w:noWrap w:val="0"/>
            <w:vAlign w:val="center"/>
          </w:tcPr>
          <w:p>
            <w:pPr>
              <w:spacing w:line="400" w:lineRule="exact"/>
              <w:jc w:val="center"/>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指标名称</w:t>
            </w:r>
          </w:p>
        </w:tc>
        <w:tc>
          <w:tcPr>
            <w:tcW w:w="1055" w:type="dxa"/>
            <w:shd w:val="clear" w:color="auto" w:fill="FBD4B4"/>
            <w:noWrap w:val="0"/>
            <w:vAlign w:val="center"/>
          </w:tcPr>
          <w:p>
            <w:pPr>
              <w:spacing w:line="400" w:lineRule="exact"/>
              <w:jc w:val="center"/>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小计</w:t>
            </w:r>
          </w:p>
        </w:tc>
        <w:tc>
          <w:tcPr>
            <w:tcW w:w="1180" w:type="dxa"/>
            <w:shd w:val="clear" w:color="auto" w:fill="FBD4B4"/>
            <w:noWrap w:val="0"/>
            <w:vAlign w:val="center"/>
          </w:tcPr>
          <w:p>
            <w:pPr>
              <w:spacing w:line="400" w:lineRule="exact"/>
              <w:jc w:val="center"/>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2017年</w:t>
            </w:r>
          </w:p>
        </w:tc>
        <w:tc>
          <w:tcPr>
            <w:tcW w:w="1224" w:type="dxa"/>
            <w:shd w:val="clear" w:color="auto" w:fill="FBD4B4"/>
            <w:noWrap w:val="0"/>
            <w:vAlign w:val="center"/>
          </w:tcPr>
          <w:p>
            <w:pPr>
              <w:spacing w:line="400" w:lineRule="exact"/>
              <w:jc w:val="center"/>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2018年</w:t>
            </w:r>
          </w:p>
        </w:tc>
        <w:tc>
          <w:tcPr>
            <w:tcW w:w="1165" w:type="dxa"/>
            <w:shd w:val="clear" w:color="auto" w:fill="FBD4B4"/>
            <w:noWrap w:val="0"/>
            <w:vAlign w:val="center"/>
          </w:tcPr>
          <w:p>
            <w:pPr>
              <w:spacing w:line="400" w:lineRule="exact"/>
              <w:jc w:val="center"/>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sz w:val="24"/>
              </w:rPr>
              <w:t>2019</w:t>
            </w:r>
            <w:r>
              <w:rPr>
                <w:rFonts w:hint="default" w:ascii="Times New Roman" w:hAnsi="Times New Roman" w:eastAsia="仿宋_GB2312" w:cs="Times New Roman"/>
                <w:b/>
                <w:color w:val="000000"/>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3898" w:type="dxa"/>
            <w:noWrap w:val="0"/>
            <w:vAlign w:val="center"/>
          </w:tcPr>
          <w:p>
            <w:pPr>
              <w:spacing w:line="400" w:lineRule="exact"/>
              <w:jc w:val="center"/>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合计</w:t>
            </w:r>
            <w:r>
              <w:rPr>
                <w:rFonts w:hint="default" w:ascii="Times New Roman" w:hAnsi="Times New Roman" w:eastAsia="仿宋_GB2312" w:cs="Times New Roman"/>
                <w:color w:val="000000"/>
                <w:sz w:val="24"/>
              </w:rPr>
              <w:t>（名）</w:t>
            </w:r>
          </w:p>
        </w:tc>
        <w:tc>
          <w:tcPr>
            <w:tcW w:w="1055" w:type="dxa"/>
            <w:noWrap w:val="0"/>
            <w:vAlign w:val="center"/>
          </w:tcPr>
          <w:p>
            <w:pPr>
              <w:spacing w:line="400" w:lineRule="exact"/>
              <w:jc w:val="center"/>
              <w:rPr>
                <w:rFonts w:hint="default" w:ascii="Times New Roman" w:hAnsi="Times New Roman" w:eastAsia="仿宋_GB2312" w:cs="Times New Roman"/>
                <w:b/>
                <w:color w:val="000000"/>
                <w:kern w:val="0"/>
                <w:sz w:val="24"/>
                <w:lang w:val="en-US" w:eastAsia="zh-CN"/>
              </w:rPr>
            </w:pPr>
            <w:r>
              <w:rPr>
                <w:rFonts w:hint="default" w:ascii="Times New Roman" w:hAnsi="Times New Roman" w:eastAsia="仿宋_GB2312" w:cs="Times New Roman"/>
                <w:b/>
                <w:color w:val="000000"/>
                <w:kern w:val="0"/>
                <w:sz w:val="24"/>
                <w:lang w:val="en-US" w:eastAsia="zh-CN"/>
              </w:rPr>
              <w:t>3</w:t>
            </w:r>
            <w:r>
              <w:rPr>
                <w:rFonts w:hint="default" w:ascii="Times New Roman" w:hAnsi="Times New Roman" w:eastAsia="仿宋_GB2312" w:cs="Times New Roman"/>
                <w:b/>
                <w:color w:val="000000"/>
                <w:kern w:val="0"/>
                <w:sz w:val="24"/>
              </w:rPr>
              <w:t>8</w:t>
            </w:r>
            <w:r>
              <w:rPr>
                <w:rFonts w:hint="default" w:ascii="Times New Roman" w:hAnsi="Times New Roman" w:eastAsia="仿宋_GB2312" w:cs="Times New Roman"/>
                <w:b/>
                <w:color w:val="000000"/>
                <w:kern w:val="0"/>
                <w:sz w:val="24"/>
                <w:lang w:val="en-US" w:eastAsia="zh-CN"/>
              </w:rPr>
              <w:t>980</w:t>
            </w:r>
          </w:p>
        </w:tc>
        <w:tc>
          <w:tcPr>
            <w:tcW w:w="1180" w:type="dxa"/>
            <w:noWrap w:val="0"/>
            <w:vAlign w:val="center"/>
          </w:tcPr>
          <w:p>
            <w:pPr>
              <w:spacing w:line="400" w:lineRule="exact"/>
              <w:jc w:val="center"/>
              <w:rPr>
                <w:rFonts w:hint="default" w:ascii="Times New Roman" w:hAnsi="Times New Roman" w:eastAsia="仿宋_GB2312" w:cs="Times New Roman"/>
                <w:b/>
                <w:color w:val="000000"/>
                <w:kern w:val="0"/>
                <w:sz w:val="24"/>
                <w:lang w:val="en-US" w:eastAsia="zh-CN"/>
              </w:rPr>
            </w:pPr>
            <w:r>
              <w:rPr>
                <w:rFonts w:hint="default" w:ascii="Times New Roman" w:hAnsi="Times New Roman" w:eastAsia="仿宋_GB2312" w:cs="Times New Roman"/>
                <w:b/>
                <w:color w:val="000000"/>
                <w:kern w:val="0"/>
                <w:sz w:val="24"/>
              </w:rPr>
              <w:t>11</w:t>
            </w:r>
            <w:r>
              <w:rPr>
                <w:rFonts w:hint="default" w:ascii="Times New Roman" w:hAnsi="Times New Roman" w:eastAsia="仿宋_GB2312" w:cs="Times New Roman"/>
                <w:b/>
                <w:color w:val="000000"/>
                <w:kern w:val="0"/>
                <w:sz w:val="24"/>
                <w:lang w:val="en-US" w:eastAsia="zh-CN"/>
              </w:rPr>
              <w:t>739</w:t>
            </w:r>
          </w:p>
        </w:tc>
        <w:tc>
          <w:tcPr>
            <w:tcW w:w="1224" w:type="dxa"/>
            <w:noWrap w:val="0"/>
            <w:vAlign w:val="center"/>
          </w:tcPr>
          <w:p>
            <w:pPr>
              <w:spacing w:line="400" w:lineRule="exact"/>
              <w:jc w:val="center"/>
              <w:rPr>
                <w:rFonts w:hint="default" w:ascii="Times New Roman" w:hAnsi="Times New Roman" w:eastAsia="仿宋_GB2312" w:cs="Times New Roman"/>
                <w:b/>
                <w:color w:val="000000"/>
                <w:kern w:val="0"/>
                <w:sz w:val="24"/>
                <w:lang w:val="en-US" w:eastAsia="zh-CN"/>
              </w:rPr>
            </w:pPr>
            <w:r>
              <w:rPr>
                <w:rFonts w:hint="default" w:ascii="Times New Roman" w:hAnsi="Times New Roman" w:eastAsia="仿宋_GB2312" w:cs="Times New Roman"/>
                <w:b/>
                <w:color w:val="000000"/>
                <w:kern w:val="0"/>
                <w:sz w:val="24"/>
              </w:rPr>
              <w:t>12</w:t>
            </w:r>
            <w:r>
              <w:rPr>
                <w:rFonts w:hint="default" w:ascii="Times New Roman" w:hAnsi="Times New Roman" w:eastAsia="仿宋_GB2312" w:cs="Times New Roman"/>
                <w:b/>
                <w:color w:val="000000"/>
                <w:kern w:val="0"/>
                <w:sz w:val="24"/>
                <w:lang w:val="en-US" w:eastAsia="zh-CN"/>
              </w:rPr>
              <w:t>112</w:t>
            </w:r>
          </w:p>
        </w:tc>
        <w:tc>
          <w:tcPr>
            <w:tcW w:w="1165" w:type="dxa"/>
            <w:noWrap w:val="0"/>
            <w:vAlign w:val="center"/>
          </w:tcPr>
          <w:p>
            <w:pPr>
              <w:spacing w:line="400" w:lineRule="exact"/>
              <w:jc w:val="center"/>
              <w:rPr>
                <w:rFonts w:hint="default" w:ascii="Times New Roman" w:hAnsi="Times New Roman" w:eastAsia="仿宋_GB2312" w:cs="Times New Roman"/>
                <w:b/>
                <w:color w:val="000000"/>
                <w:sz w:val="24"/>
                <w:lang w:val="en-US" w:eastAsia="zh-CN"/>
              </w:rPr>
            </w:pPr>
            <w:r>
              <w:rPr>
                <w:rFonts w:hint="default" w:ascii="Times New Roman" w:hAnsi="Times New Roman" w:eastAsia="仿宋_GB2312" w:cs="Times New Roman"/>
                <w:b/>
                <w:color w:val="000000"/>
                <w:sz w:val="24"/>
              </w:rPr>
              <w:t>1</w:t>
            </w:r>
            <w:r>
              <w:rPr>
                <w:rFonts w:hint="default" w:ascii="Times New Roman" w:hAnsi="Times New Roman" w:eastAsia="仿宋_GB2312" w:cs="Times New Roman"/>
                <w:b/>
                <w:color w:val="000000"/>
                <w:sz w:val="24"/>
                <w:lang w:val="en-US" w:eastAsia="zh-CN"/>
              </w:rPr>
              <w:t>5129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98" w:type="dxa"/>
            <w:noWrap w:val="0"/>
            <w:vAlign w:val="center"/>
          </w:tcPr>
          <w:p>
            <w:pPr>
              <w:autoSpaceDE w:val="0"/>
              <w:autoSpaceDN w:val="0"/>
              <w:adjustRightInd w:val="0"/>
              <w:spacing w:line="400" w:lineRule="exact"/>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sz w:val="24"/>
              </w:rPr>
              <w:t>转岗培训产科医师数量</w:t>
            </w:r>
          </w:p>
        </w:tc>
        <w:tc>
          <w:tcPr>
            <w:tcW w:w="1055" w:type="dxa"/>
            <w:noWrap w:val="0"/>
            <w:vAlign w:val="center"/>
          </w:tcPr>
          <w:p>
            <w:pPr>
              <w:autoSpaceDE w:val="0"/>
              <w:autoSpaceDN w:val="0"/>
              <w:adjustRightInd w:val="0"/>
              <w:spacing w:line="4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3</w:t>
            </w:r>
            <w:r>
              <w:rPr>
                <w:rFonts w:hint="default" w:ascii="Times New Roman" w:hAnsi="Times New Roman" w:eastAsia="仿宋_GB2312" w:cs="Times New Roman"/>
                <w:color w:val="000000"/>
                <w:sz w:val="24"/>
              </w:rPr>
              <w:t>128</w:t>
            </w:r>
          </w:p>
        </w:tc>
        <w:tc>
          <w:tcPr>
            <w:tcW w:w="1180" w:type="dxa"/>
            <w:noWrap w:val="0"/>
            <w:vAlign w:val="center"/>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1000</w:t>
            </w:r>
          </w:p>
        </w:tc>
        <w:tc>
          <w:tcPr>
            <w:tcW w:w="1224" w:type="dxa"/>
            <w:noWrap w:val="0"/>
            <w:vAlign w:val="center"/>
          </w:tcPr>
          <w:p>
            <w:pPr>
              <w:spacing w:line="400" w:lineRule="exact"/>
              <w:jc w:val="center"/>
              <w:rPr>
                <w:rFonts w:hint="default" w:ascii="Times New Roman" w:hAnsi="Times New Roman" w:eastAsia="仿宋_GB2312" w:cs="Times New Roman"/>
                <w:color w:val="000000"/>
                <w:kern w:val="0"/>
                <w:sz w:val="24"/>
                <w:highlight w:val="yellow"/>
              </w:rPr>
            </w:pPr>
            <w:r>
              <w:rPr>
                <w:rFonts w:hint="default" w:ascii="Times New Roman" w:hAnsi="Times New Roman" w:eastAsia="仿宋_GB2312" w:cs="Times New Roman"/>
                <w:color w:val="000000"/>
                <w:kern w:val="0"/>
                <w:sz w:val="24"/>
              </w:rPr>
              <w:t>970</w:t>
            </w:r>
          </w:p>
        </w:tc>
        <w:tc>
          <w:tcPr>
            <w:tcW w:w="1165" w:type="dxa"/>
            <w:noWrap w:val="0"/>
            <w:vAlign w:val="center"/>
          </w:tcPr>
          <w:p>
            <w:pPr>
              <w:spacing w:line="400" w:lineRule="exact"/>
              <w:jc w:val="center"/>
              <w:rPr>
                <w:rFonts w:hint="default" w:ascii="Times New Roman" w:hAnsi="Times New Roman" w:eastAsia="仿宋_GB2312" w:cs="Times New Roman"/>
                <w:color w:val="000000"/>
                <w:kern w:val="0"/>
                <w:sz w:val="24"/>
                <w:highlight w:val="yellow"/>
              </w:rPr>
            </w:pPr>
            <w:r>
              <w:rPr>
                <w:rFonts w:hint="default" w:ascii="Times New Roman" w:hAnsi="Times New Roman" w:eastAsia="仿宋_GB2312" w:cs="Times New Roman"/>
                <w:color w:val="000000"/>
                <w:kern w:val="0"/>
                <w:sz w:val="24"/>
              </w:rPr>
              <w:t>1158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898" w:type="dxa"/>
            <w:noWrap w:val="0"/>
            <w:vAlign w:val="center"/>
          </w:tcPr>
          <w:p>
            <w:pPr>
              <w:autoSpaceDE w:val="0"/>
              <w:autoSpaceDN w:val="0"/>
              <w:adjustRightInd w:val="0"/>
              <w:spacing w:line="400" w:lineRule="exact"/>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sz w:val="24"/>
              </w:rPr>
              <w:t>转岗培训儿科医师数量</w:t>
            </w:r>
          </w:p>
        </w:tc>
        <w:tc>
          <w:tcPr>
            <w:tcW w:w="1055" w:type="dxa"/>
            <w:noWrap w:val="0"/>
            <w:vAlign w:val="center"/>
          </w:tcPr>
          <w:p>
            <w:pPr>
              <w:autoSpaceDE w:val="0"/>
              <w:autoSpaceDN w:val="0"/>
              <w:adjustRightInd w:val="0"/>
              <w:spacing w:line="400" w:lineRule="exact"/>
              <w:jc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1096</w:t>
            </w:r>
          </w:p>
        </w:tc>
        <w:tc>
          <w:tcPr>
            <w:tcW w:w="1180" w:type="dxa"/>
            <w:noWrap w:val="0"/>
            <w:vAlign w:val="center"/>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360</w:t>
            </w:r>
          </w:p>
        </w:tc>
        <w:tc>
          <w:tcPr>
            <w:tcW w:w="1224" w:type="dxa"/>
            <w:noWrap w:val="0"/>
            <w:vAlign w:val="center"/>
          </w:tcPr>
          <w:p>
            <w:pPr>
              <w:spacing w:line="400" w:lineRule="exact"/>
              <w:jc w:val="center"/>
              <w:rPr>
                <w:rFonts w:hint="default" w:ascii="Times New Roman" w:hAnsi="Times New Roman" w:eastAsia="仿宋_GB2312" w:cs="Times New Roman"/>
                <w:color w:val="000000"/>
                <w:kern w:val="0"/>
                <w:sz w:val="24"/>
                <w:highlight w:val="yellow"/>
              </w:rPr>
            </w:pPr>
            <w:r>
              <w:rPr>
                <w:rFonts w:hint="default" w:ascii="Times New Roman" w:hAnsi="Times New Roman" w:eastAsia="仿宋_GB2312" w:cs="Times New Roman"/>
                <w:color w:val="000000"/>
                <w:kern w:val="0"/>
                <w:sz w:val="24"/>
              </w:rPr>
              <w:t>360</w:t>
            </w:r>
          </w:p>
        </w:tc>
        <w:tc>
          <w:tcPr>
            <w:tcW w:w="1165" w:type="dxa"/>
            <w:noWrap w:val="0"/>
            <w:vAlign w:val="center"/>
          </w:tcPr>
          <w:p>
            <w:pPr>
              <w:spacing w:line="400" w:lineRule="exact"/>
              <w:jc w:val="center"/>
              <w:rPr>
                <w:rFonts w:hint="default" w:ascii="Times New Roman" w:hAnsi="Times New Roman" w:eastAsia="仿宋_GB2312" w:cs="Times New Roman"/>
                <w:color w:val="000000"/>
                <w:kern w:val="0"/>
                <w:sz w:val="24"/>
                <w:highlight w:val="yellow"/>
              </w:rPr>
            </w:pPr>
            <w:r>
              <w:rPr>
                <w:rFonts w:hint="default" w:ascii="Times New Roman" w:hAnsi="Times New Roman" w:eastAsia="仿宋_GB2312" w:cs="Times New Roman"/>
                <w:color w:val="000000"/>
                <w:kern w:val="0"/>
                <w:sz w:val="24"/>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3898" w:type="dxa"/>
            <w:noWrap w:val="0"/>
            <w:vAlign w:val="center"/>
          </w:tcPr>
          <w:p>
            <w:pPr>
              <w:autoSpaceDE w:val="0"/>
              <w:autoSpaceDN w:val="0"/>
              <w:adjustRightInd w:val="0"/>
              <w:spacing w:line="4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订单定向培养医学生数量</w:t>
            </w:r>
          </w:p>
        </w:tc>
        <w:tc>
          <w:tcPr>
            <w:tcW w:w="1055" w:type="dxa"/>
            <w:noWrap w:val="0"/>
            <w:vAlign w:val="center"/>
          </w:tcPr>
          <w:p>
            <w:pPr>
              <w:autoSpaceDE w:val="0"/>
              <w:autoSpaceDN w:val="0"/>
              <w:adjustRightInd w:val="0"/>
              <w:spacing w:line="400" w:lineRule="exact"/>
              <w:jc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rPr>
              <w:t>3</w:t>
            </w:r>
            <w:r>
              <w:rPr>
                <w:rFonts w:hint="default" w:ascii="Times New Roman" w:hAnsi="Times New Roman" w:eastAsia="仿宋_GB2312" w:cs="Times New Roman"/>
                <w:color w:val="000000"/>
                <w:sz w:val="24"/>
                <w:lang w:val="en-US" w:eastAsia="zh-CN"/>
              </w:rPr>
              <w:t>375</w:t>
            </w:r>
          </w:p>
        </w:tc>
        <w:tc>
          <w:tcPr>
            <w:tcW w:w="1180" w:type="dxa"/>
            <w:noWrap w:val="0"/>
            <w:vAlign w:val="center"/>
          </w:tcPr>
          <w:p>
            <w:pPr>
              <w:spacing w:line="4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881</w:t>
            </w:r>
          </w:p>
        </w:tc>
        <w:tc>
          <w:tcPr>
            <w:tcW w:w="1224" w:type="dxa"/>
            <w:noWrap w:val="0"/>
            <w:vAlign w:val="center"/>
          </w:tcPr>
          <w:p>
            <w:pPr>
              <w:spacing w:line="400" w:lineRule="exact"/>
              <w:jc w:val="center"/>
              <w:rPr>
                <w:rFonts w:hint="default" w:ascii="Times New Roman" w:hAnsi="Times New Roman" w:eastAsia="仿宋_GB2312" w:cs="Times New Roman"/>
                <w:color w:val="000000"/>
                <w:kern w:val="0"/>
                <w:sz w:val="24"/>
                <w:highlight w:val="yellow"/>
              </w:rPr>
            </w:pPr>
            <w:r>
              <w:rPr>
                <w:rFonts w:hint="default" w:ascii="Times New Roman" w:hAnsi="Times New Roman" w:eastAsia="仿宋_GB2312" w:cs="Times New Roman"/>
                <w:color w:val="000000"/>
                <w:kern w:val="0"/>
                <w:sz w:val="24"/>
              </w:rPr>
              <w:t>1020</w:t>
            </w:r>
          </w:p>
        </w:tc>
        <w:tc>
          <w:tcPr>
            <w:tcW w:w="1165" w:type="dxa"/>
            <w:noWrap w:val="0"/>
            <w:vAlign w:val="center"/>
          </w:tcPr>
          <w:p>
            <w:pPr>
              <w:spacing w:line="400" w:lineRule="exact"/>
              <w:jc w:val="center"/>
              <w:rPr>
                <w:rFonts w:hint="default" w:ascii="Times New Roman" w:hAnsi="Times New Roman" w:eastAsia="仿宋_GB2312" w:cs="Times New Roman"/>
                <w:color w:val="000000"/>
                <w:kern w:val="0"/>
                <w:sz w:val="24"/>
                <w:highlight w:val="yellow"/>
              </w:rPr>
            </w:pPr>
            <w:r>
              <w:rPr>
                <w:rFonts w:hint="default" w:ascii="Times New Roman" w:hAnsi="Times New Roman" w:eastAsia="仿宋_GB2312" w:cs="Times New Roman"/>
                <w:color w:val="000000"/>
                <w:kern w:val="0"/>
                <w:sz w:val="24"/>
              </w:rPr>
              <w:t>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3898" w:type="dxa"/>
            <w:noWrap w:val="0"/>
            <w:vAlign w:val="center"/>
          </w:tcPr>
          <w:p>
            <w:pPr>
              <w:autoSpaceDE w:val="0"/>
              <w:autoSpaceDN w:val="0"/>
              <w:adjustRightInd w:val="0"/>
              <w:spacing w:line="4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全科医生</w:t>
            </w:r>
          </w:p>
        </w:tc>
        <w:tc>
          <w:tcPr>
            <w:tcW w:w="1055" w:type="dxa"/>
            <w:noWrap w:val="0"/>
            <w:vAlign w:val="center"/>
          </w:tcPr>
          <w:p>
            <w:pPr>
              <w:autoSpaceDE w:val="0"/>
              <w:autoSpaceDN w:val="0"/>
              <w:adjustRightInd w:val="0"/>
              <w:spacing w:line="400" w:lineRule="exact"/>
              <w:jc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rPr>
              <w:t>1</w:t>
            </w:r>
            <w:r>
              <w:rPr>
                <w:rFonts w:hint="default" w:ascii="Times New Roman" w:hAnsi="Times New Roman" w:eastAsia="仿宋_GB2312" w:cs="Times New Roman"/>
                <w:color w:val="000000"/>
                <w:sz w:val="24"/>
                <w:lang w:val="en-US" w:eastAsia="zh-CN"/>
              </w:rPr>
              <w:t>7</w:t>
            </w:r>
            <w:r>
              <w:rPr>
                <w:rFonts w:hint="default" w:ascii="Times New Roman" w:hAnsi="Times New Roman" w:eastAsia="仿宋_GB2312" w:cs="Times New Roman"/>
                <w:color w:val="000000"/>
                <w:sz w:val="24"/>
              </w:rPr>
              <w:t>5</w:t>
            </w:r>
            <w:r>
              <w:rPr>
                <w:rFonts w:hint="default" w:ascii="Times New Roman" w:hAnsi="Times New Roman" w:eastAsia="仿宋_GB2312" w:cs="Times New Roman"/>
                <w:color w:val="000000"/>
                <w:sz w:val="24"/>
                <w:lang w:val="en-US" w:eastAsia="zh-CN"/>
              </w:rPr>
              <w:t>41</w:t>
            </w:r>
          </w:p>
        </w:tc>
        <w:tc>
          <w:tcPr>
            <w:tcW w:w="1180" w:type="dxa"/>
            <w:noWrap w:val="0"/>
            <w:vAlign w:val="center"/>
          </w:tcPr>
          <w:p>
            <w:pPr>
              <w:spacing w:line="400" w:lineRule="exact"/>
              <w:jc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5492</w:t>
            </w:r>
          </w:p>
        </w:tc>
        <w:tc>
          <w:tcPr>
            <w:tcW w:w="1224" w:type="dxa"/>
            <w:noWrap w:val="0"/>
            <w:vAlign w:val="center"/>
          </w:tcPr>
          <w:p>
            <w:pPr>
              <w:spacing w:line="400" w:lineRule="exact"/>
              <w:jc w:val="center"/>
              <w:rPr>
                <w:rFonts w:hint="default" w:ascii="Times New Roman" w:hAnsi="Times New Roman" w:eastAsia="仿宋_GB2312" w:cs="Times New Roman"/>
                <w:color w:val="000000"/>
                <w:kern w:val="0"/>
                <w:sz w:val="24"/>
                <w:highlight w:val="yellow"/>
              </w:rPr>
            </w:pPr>
            <w:r>
              <w:rPr>
                <w:rFonts w:hint="default" w:ascii="Times New Roman" w:hAnsi="Times New Roman" w:eastAsia="仿宋_GB2312" w:cs="Times New Roman"/>
                <w:color w:val="000000"/>
                <w:kern w:val="0"/>
                <w:sz w:val="24"/>
              </w:rPr>
              <w:t>5300</w:t>
            </w:r>
          </w:p>
        </w:tc>
        <w:tc>
          <w:tcPr>
            <w:tcW w:w="1165" w:type="dxa"/>
            <w:noWrap w:val="0"/>
            <w:vAlign w:val="center"/>
          </w:tcPr>
          <w:p>
            <w:pPr>
              <w:spacing w:line="400" w:lineRule="exact"/>
              <w:jc w:val="center"/>
              <w:rPr>
                <w:rFonts w:hint="default" w:ascii="Times New Roman" w:hAnsi="Times New Roman" w:eastAsia="仿宋_GB2312" w:cs="Times New Roman"/>
                <w:color w:val="000000"/>
                <w:kern w:val="0"/>
                <w:sz w:val="24"/>
                <w:highlight w:val="yellow"/>
              </w:rPr>
            </w:pPr>
            <w:r>
              <w:rPr>
                <w:rFonts w:hint="default" w:ascii="Times New Roman" w:hAnsi="Times New Roman" w:eastAsia="仿宋_GB2312" w:cs="Times New Roman"/>
                <w:color w:val="000000"/>
                <w:kern w:val="0"/>
                <w:sz w:val="24"/>
              </w:rPr>
              <w:t>6749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898" w:type="dxa"/>
            <w:noWrap w:val="0"/>
            <w:vAlign w:val="center"/>
          </w:tcPr>
          <w:p>
            <w:pPr>
              <w:autoSpaceDE w:val="0"/>
              <w:autoSpaceDN w:val="0"/>
              <w:adjustRightInd w:val="0"/>
              <w:spacing w:line="4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住院医师规范化培训招生数量</w:t>
            </w:r>
          </w:p>
        </w:tc>
        <w:tc>
          <w:tcPr>
            <w:tcW w:w="1055" w:type="dxa"/>
            <w:noWrap w:val="0"/>
            <w:vAlign w:val="center"/>
          </w:tcPr>
          <w:p>
            <w:pPr>
              <w:autoSpaceDE w:val="0"/>
              <w:autoSpaceDN w:val="0"/>
              <w:adjustRightInd w:val="0"/>
              <w:spacing w:line="400" w:lineRule="exact"/>
              <w:jc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10568</w:t>
            </w:r>
          </w:p>
        </w:tc>
        <w:tc>
          <w:tcPr>
            <w:tcW w:w="1180" w:type="dxa"/>
            <w:noWrap w:val="0"/>
            <w:vAlign w:val="center"/>
          </w:tcPr>
          <w:p>
            <w:pPr>
              <w:spacing w:line="400" w:lineRule="exact"/>
              <w:jc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3006</w:t>
            </w:r>
          </w:p>
        </w:tc>
        <w:tc>
          <w:tcPr>
            <w:tcW w:w="1224" w:type="dxa"/>
            <w:noWrap w:val="0"/>
            <w:vAlign w:val="center"/>
          </w:tcPr>
          <w:p>
            <w:pPr>
              <w:spacing w:line="400" w:lineRule="exact"/>
              <w:jc w:val="center"/>
              <w:rPr>
                <w:rFonts w:hint="default" w:ascii="Times New Roman" w:hAnsi="Times New Roman" w:eastAsia="仿宋_GB2312" w:cs="Times New Roman"/>
                <w:color w:val="000000"/>
                <w:kern w:val="0"/>
                <w:sz w:val="24"/>
                <w:highlight w:val="yellow"/>
                <w:lang w:val="en-US" w:eastAsia="zh-CN"/>
              </w:rPr>
            </w:pPr>
            <w:r>
              <w:rPr>
                <w:rFonts w:hint="default" w:ascii="Times New Roman" w:hAnsi="Times New Roman" w:eastAsia="仿宋_GB2312" w:cs="Times New Roman"/>
                <w:color w:val="000000"/>
                <w:sz w:val="24"/>
                <w:lang w:val="en-US" w:eastAsia="zh-CN"/>
              </w:rPr>
              <w:t>3462</w:t>
            </w:r>
          </w:p>
        </w:tc>
        <w:tc>
          <w:tcPr>
            <w:tcW w:w="1165" w:type="dxa"/>
            <w:noWrap w:val="0"/>
            <w:vAlign w:val="center"/>
          </w:tcPr>
          <w:p>
            <w:pPr>
              <w:spacing w:line="400" w:lineRule="exact"/>
              <w:jc w:val="center"/>
              <w:rPr>
                <w:rFonts w:hint="default" w:ascii="Times New Roman" w:hAnsi="Times New Roman" w:eastAsia="仿宋_GB2312" w:cs="Times New Roman"/>
                <w:color w:val="000000"/>
                <w:kern w:val="0"/>
                <w:sz w:val="24"/>
                <w:highlight w:val="yellow"/>
              </w:rPr>
            </w:pPr>
            <w:r>
              <w:rPr>
                <w:rFonts w:hint="default" w:ascii="Times New Roman" w:hAnsi="Times New Roman" w:eastAsia="仿宋_GB2312" w:cs="Times New Roman"/>
                <w:color w:val="000000"/>
                <w:kern w:val="0"/>
                <w:sz w:val="24"/>
              </w:rPr>
              <w:t>4</w:t>
            </w:r>
            <w:r>
              <w:rPr>
                <w:rFonts w:hint="default" w:ascii="Times New Roman" w:hAnsi="Times New Roman" w:eastAsia="仿宋_GB2312" w:cs="Times New Roman"/>
                <w:color w:val="000000"/>
                <w:kern w:val="0"/>
                <w:sz w:val="24"/>
                <w:lang w:val="en-US" w:eastAsia="zh-CN"/>
              </w:rPr>
              <w:t>10</w:t>
            </w:r>
            <w:r>
              <w:rPr>
                <w:rFonts w:hint="default" w:ascii="Times New Roman" w:hAnsi="Times New Roman" w:eastAsia="仿宋_GB2312" w:cs="Times New Roman"/>
                <w:color w:val="00000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3898" w:type="dxa"/>
            <w:noWrap w:val="0"/>
            <w:vAlign w:val="center"/>
          </w:tcPr>
          <w:p>
            <w:pPr>
              <w:autoSpaceDE w:val="0"/>
              <w:autoSpaceDN w:val="0"/>
              <w:adjustRightInd w:val="0"/>
              <w:spacing w:line="4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住院骨干师资</w:t>
            </w:r>
          </w:p>
        </w:tc>
        <w:tc>
          <w:tcPr>
            <w:tcW w:w="1055" w:type="dxa"/>
            <w:noWrap w:val="0"/>
            <w:vAlign w:val="center"/>
          </w:tcPr>
          <w:p>
            <w:pPr>
              <w:autoSpaceDE w:val="0"/>
              <w:autoSpaceDN w:val="0"/>
              <w:adjustRightInd w:val="0"/>
              <w:spacing w:line="4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3</w:t>
            </w:r>
            <w:r>
              <w:rPr>
                <w:rFonts w:hint="default" w:ascii="Times New Roman" w:hAnsi="Times New Roman" w:eastAsia="仿宋_GB2312" w:cs="Times New Roman"/>
                <w:color w:val="000000"/>
                <w:sz w:val="24"/>
              </w:rPr>
              <w:t>000</w:t>
            </w:r>
          </w:p>
        </w:tc>
        <w:tc>
          <w:tcPr>
            <w:tcW w:w="1180" w:type="dxa"/>
            <w:noWrap w:val="0"/>
            <w:vAlign w:val="center"/>
          </w:tcPr>
          <w:p>
            <w:pPr>
              <w:spacing w:line="400" w:lineRule="exact"/>
              <w:jc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1000</w:t>
            </w:r>
          </w:p>
        </w:tc>
        <w:tc>
          <w:tcPr>
            <w:tcW w:w="1224" w:type="dxa"/>
            <w:noWrap w:val="0"/>
            <w:vAlign w:val="center"/>
          </w:tcPr>
          <w:p>
            <w:pPr>
              <w:spacing w:line="400" w:lineRule="exact"/>
              <w:jc w:val="center"/>
              <w:rPr>
                <w:rFonts w:hint="default" w:ascii="Times New Roman" w:hAnsi="Times New Roman" w:eastAsia="仿宋_GB2312" w:cs="Times New Roman"/>
                <w:color w:val="000000"/>
                <w:sz w:val="24"/>
                <w:highlight w:val="yellow"/>
                <w:lang w:val="en-US" w:eastAsia="zh-CN"/>
              </w:rPr>
            </w:pPr>
            <w:r>
              <w:rPr>
                <w:rFonts w:hint="default" w:ascii="Times New Roman" w:hAnsi="Times New Roman" w:eastAsia="仿宋_GB2312" w:cs="Times New Roman"/>
                <w:color w:val="000000"/>
                <w:sz w:val="24"/>
                <w:lang w:val="en-US" w:eastAsia="zh-CN"/>
              </w:rPr>
              <w:t>1000</w:t>
            </w:r>
          </w:p>
        </w:tc>
        <w:tc>
          <w:tcPr>
            <w:tcW w:w="1165" w:type="dxa"/>
            <w:noWrap w:val="0"/>
            <w:vAlign w:val="center"/>
          </w:tcPr>
          <w:p>
            <w:pPr>
              <w:spacing w:line="400" w:lineRule="exact"/>
              <w:jc w:val="center"/>
              <w:rPr>
                <w:rFonts w:hint="default" w:ascii="Times New Roman" w:hAnsi="Times New Roman" w:eastAsia="仿宋_GB2312" w:cs="Times New Roman"/>
                <w:color w:val="000000"/>
                <w:kern w:val="0"/>
                <w:sz w:val="24"/>
                <w:highlight w:val="yellow"/>
              </w:rPr>
            </w:pPr>
            <w:r>
              <w:rPr>
                <w:rFonts w:hint="default" w:ascii="Times New Roman" w:hAnsi="Times New Roman" w:eastAsia="仿宋_GB2312" w:cs="Times New Roman"/>
                <w:color w:val="000000"/>
                <w:kern w:val="0"/>
                <w:sz w:val="24"/>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898" w:type="dxa"/>
            <w:noWrap w:val="0"/>
            <w:vAlign w:val="center"/>
          </w:tcPr>
          <w:p>
            <w:pPr>
              <w:spacing w:line="400" w:lineRule="exact"/>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bidi="ar"/>
              </w:rPr>
              <w:t>家庭医生签约服务骨干师资</w:t>
            </w:r>
          </w:p>
        </w:tc>
        <w:tc>
          <w:tcPr>
            <w:tcW w:w="1055" w:type="dxa"/>
            <w:noWrap w:val="0"/>
            <w:vAlign w:val="center"/>
          </w:tcPr>
          <w:p>
            <w:pPr>
              <w:spacing w:line="400" w:lineRule="exact"/>
              <w:jc w:val="center"/>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2</w:t>
            </w:r>
            <w:r>
              <w:rPr>
                <w:rFonts w:hint="default" w:ascii="Times New Roman" w:hAnsi="Times New Roman" w:eastAsia="仿宋_GB2312" w:cs="Times New Roman"/>
                <w:color w:val="000000"/>
                <w:kern w:val="0"/>
                <w:sz w:val="24"/>
                <w:lang w:val="en-US" w:eastAsia="zh-CN"/>
              </w:rPr>
              <w:t>72</w:t>
            </w:r>
          </w:p>
        </w:tc>
        <w:tc>
          <w:tcPr>
            <w:tcW w:w="1180" w:type="dxa"/>
            <w:noWrap w:val="0"/>
            <w:vAlign w:val="center"/>
          </w:tcPr>
          <w:p>
            <w:pPr>
              <w:spacing w:line="40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w:t>
            </w:r>
          </w:p>
        </w:tc>
        <w:tc>
          <w:tcPr>
            <w:tcW w:w="1224" w:type="dxa"/>
            <w:noWrap w:val="0"/>
            <w:vAlign w:val="center"/>
          </w:tcPr>
          <w:p>
            <w:pPr>
              <w:spacing w:line="400" w:lineRule="exact"/>
              <w:jc w:val="center"/>
              <w:rPr>
                <w:rFonts w:hint="default" w:ascii="Times New Roman" w:hAnsi="Times New Roman" w:eastAsia="仿宋_GB2312" w:cs="Times New Roman"/>
                <w:color w:val="000000"/>
                <w:kern w:val="0"/>
                <w:sz w:val="24"/>
                <w:highlight w:val="yellow"/>
              </w:rPr>
            </w:pPr>
            <w:r>
              <w:rPr>
                <w:rFonts w:hint="default" w:ascii="Times New Roman" w:hAnsi="Times New Roman" w:eastAsia="仿宋_GB2312" w:cs="Times New Roman"/>
                <w:color w:val="000000"/>
                <w:kern w:val="0"/>
                <w:sz w:val="24"/>
              </w:rPr>
              <w:t>--</w:t>
            </w:r>
          </w:p>
        </w:tc>
        <w:tc>
          <w:tcPr>
            <w:tcW w:w="1165" w:type="dxa"/>
            <w:noWrap w:val="0"/>
            <w:vAlign w:val="center"/>
          </w:tcPr>
          <w:p>
            <w:pPr>
              <w:spacing w:line="400" w:lineRule="exact"/>
              <w:jc w:val="center"/>
              <w:rPr>
                <w:rFonts w:hint="default" w:ascii="Times New Roman" w:hAnsi="Times New Roman" w:eastAsia="仿宋_GB2312" w:cs="Times New Roman"/>
                <w:color w:val="000000"/>
                <w:kern w:val="0"/>
                <w:sz w:val="24"/>
                <w:highlight w:val="yellow"/>
                <w:lang w:val="en-US" w:eastAsia="zh-CN"/>
              </w:rPr>
            </w:pPr>
            <w:r>
              <w:rPr>
                <w:rFonts w:hint="default" w:ascii="Times New Roman" w:hAnsi="Times New Roman" w:eastAsia="仿宋_GB2312" w:cs="Times New Roman"/>
                <w:color w:val="000000"/>
                <w:kern w:val="0"/>
                <w:sz w:val="24"/>
              </w:rPr>
              <w:t>2</w:t>
            </w:r>
            <w:r>
              <w:rPr>
                <w:rFonts w:hint="default" w:ascii="Times New Roman" w:hAnsi="Times New Roman" w:eastAsia="仿宋_GB2312" w:cs="Times New Roman"/>
                <w:color w:val="000000"/>
                <w:kern w:val="0"/>
                <w:sz w:val="24"/>
                <w:lang w:val="en-US" w:eastAsia="zh-CN"/>
              </w:rPr>
              <w:t>72</w:t>
            </w:r>
          </w:p>
        </w:tc>
      </w:tr>
    </w:tbl>
    <w:p>
      <w:pPr>
        <w:spacing w:line="560" w:lineRule="exact"/>
        <w:rPr>
          <w:rFonts w:hint="default" w:ascii="Times New Roman" w:hAnsi="Times New Roman" w:eastAsia="仿宋_GB2312" w:cs="Times New Roman"/>
          <w:color w:val="000000"/>
          <w:sz w:val="32"/>
          <w:szCs w:val="32"/>
          <w:shd w:val="clear" w:color="auto" w:fill="FFFFFF"/>
        </w:rPr>
      </w:pPr>
    </w:p>
    <w:p>
      <w:pPr>
        <w:snapToGrid w:val="0"/>
        <w:spacing w:beforeLines="0" w:afterLines="0" w:line="560" w:lineRule="exact"/>
        <w:ind w:firstLine="606"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val="0"/>
          <w:bCs w:val="0"/>
          <w:color w:val="000000"/>
          <w:kern w:val="0"/>
          <w:sz w:val="32"/>
          <w:szCs w:val="32"/>
          <w:lang w:bidi="ar"/>
        </w:rPr>
        <w:t>（二）跨区域跨机构的远程医疗服务建设取得新进展，</w:t>
      </w:r>
      <w:r>
        <w:rPr>
          <w:rFonts w:hint="default" w:ascii="Times New Roman" w:hAnsi="Times New Roman" w:eastAsia="楷体_GB2312" w:cs="Times New Roman"/>
          <w:b w:val="0"/>
          <w:bCs w:val="0"/>
          <w:snapToGrid w:val="0"/>
          <w:color w:val="000000"/>
          <w:kern w:val="0"/>
          <w:sz w:val="32"/>
          <w:szCs w:val="32"/>
        </w:rPr>
        <w:t>卫生服务均等化水平持续提升</w:t>
      </w:r>
      <w:r>
        <w:rPr>
          <w:rFonts w:hint="default" w:ascii="Times New Roman" w:hAnsi="Times New Roman" w:eastAsia="仿宋_GB2312" w:cs="Times New Roman"/>
          <w:b/>
          <w:bCs/>
          <w:snapToGrid w:val="0"/>
          <w:color w:val="000000"/>
          <w:kern w:val="0"/>
          <w:sz w:val="32"/>
          <w:szCs w:val="32"/>
          <w:lang w:eastAsia="zh-CN"/>
        </w:rPr>
        <w:t>。</w:t>
      </w:r>
      <w:r>
        <w:rPr>
          <w:rFonts w:hint="default" w:ascii="Times New Roman" w:hAnsi="Times New Roman" w:eastAsia="仿宋_GB2312" w:cs="Times New Roman"/>
          <w:color w:val="000000"/>
          <w:sz w:val="32"/>
          <w:szCs w:val="32"/>
        </w:rPr>
        <w:t>2019年，为2277条省定的贫困村统一配备智能健康监测设备，</w:t>
      </w:r>
      <w:r>
        <w:rPr>
          <w:rFonts w:hint="default" w:ascii="Times New Roman" w:hAnsi="Times New Roman" w:eastAsia="仿宋_GB2312" w:cs="Times New Roman"/>
          <w:color w:val="000000"/>
          <w:sz w:val="32"/>
          <w:szCs w:val="32"/>
          <w:lang w:eastAsia="zh-CN"/>
        </w:rPr>
        <w:t>促进</w:t>
      </w:r>
      <w:r>
        <w:rPr>
          <w:rFonts w:hint="default" w:ascii="Times New Roman" w:hAnsi="Times New Roman" w:eastAsia="仿宋_GB2312" w:cs="Times New Roman"/>
          <w:color w:val="000000"/>
          <w:sz w:val="32"/>
          <w:szCs w:val="32"/>
        </w:rPr>
        <w:t>建成的村医工作站基本具备开展远程问诊、远程会诊、远程教育等远程医疗服务能力，县级及以下基层医疗机构医疗水平和处置能力有效提高，</w:t>
      </w:r>
      <w:r>
        <w:rPr>
          <w:rFonts w:hint="default" w:ascii="Times New Roman" w:hAnsi="Times New Roman" w:eastAsia="仿宋_GB2312" w:cs="Times New Roman"/>
          <w:color w:val="000000"/>
          <w:sz w:val="32"/>
          <w:szCs w:val="32"/>
          <w:lang w:eastAsia="zh-CN"/>
        </w:rPr>
        <w:t>使</w:t>
      </w:r>
      <w:r>
        <w:rPr>
          <w:rFonts w:hint="default" w:ascii="Times New Roman" w:hAnsi="Times New Roman" w:eastAsia="仿宋_GB2312" w:cs="Times New Roman"/>
          <w:color w:val="000000"/>
          <w:sz w:val="32"/>
          <w:szCs w:val="32"/>
        </w:rPr>
        <w:t>基层百姓切实感受到了民生政策</w:t>
      </w:r>
      <w:r>
        <w:rPr>
          <w:rFonts w:hint="default" w:ascii="Times New Roman" w:hAnsi="Times New Roman" w:eastAsia="仿宋_GB2312" w:cs="Times New Roman"/>
          <w:color w:val="000000"/>
          <w:sz w:val="32"/>
          <w:szCs w:val="32"/>
          <w:lang w:eastAsia="zh-CN"/>
        </w:rPr>
        <w:t>带来的便利</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有效落实</w:t>
      </w:r>
      <w:r>
        <w:rPr>
          <w:rFonts w:hint="default" w:ascii="Times New Roman" w:hAnsi="Times New Roman" w:eastAsia="仿宋_GB2312" w:cs="Times New Roman"/>
          <w:color w:val="000000"/>
          <w:sz w:val="32"/>
          <w:szCs w:val="32"/>
        </w:rPr>
        <w:t>省委省政府</w:t>
      </w:r>
      <w:r>
        <w:rPr>
          <w:rFonts w:hint="default" w:ascii="Times New Roman" w:hAnsi="Times New Roman" w:eastAsia="仿宋_GB2312" w:cs="Times New Roman"/>
          <w:color w:val="000000"/>
          <w:sz w:val="32"/>
          <w:szCs w:val="32"/>
          <w:lang w:eastAsia="zh-CN"/>
        </w:rPr>
        <w:t>有关</w:t>
      </w:r>
      <w:r>
        <w:rPr>
          <w:rFonts w:hint="default" w:ascii="Times New Roman" w:hAnsi="Times New Roman" w:eastAsia="仿宋_GB2312" w:cs="Times New Roman"/>
          <w:color w:val="000000"/>
          <w:sz w:val="32"/>
          <w:szCs w:val="32"/>
        </w:rPr>
        <w:t>就近满足人民群众基本医疗卫生服务需求的</w:t>
      </w:r>
      <w:r>
        <w:rPr>
          <w:rFonts w:hint="default" w:ascii="Times New Roman" w:hAnsi="Times New Roman" w:eastAsia="仿宋_GB2312" w:cs="Times New Roman"/>
          <w:color w:val="000000"/>
          <w:sz w:val="32"/>
          <w:szCs w:val="32"/>
          <w:lang w:eastAsia="zh-CN"/>
        </w:rPr>
        <w:t>工作部署</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bCs/>
          <w:color w:val="000000"/>
          <w:kern w:val="0"/>
          <w:sz w:val="32"/>
          <w:szCs w:val="32"/>
          <w:lang w:bidi="ar"/>
        </w:rPr>
        <w:t>一是</w:t>
      </w:r>
      <w:r>
        <w:rPr>
          <w:rFonts w:hint="default" w:ascii="Times New Roman" w:hAnsi="Times New Roman" w:eastAsia="仿宋_GB2312" w:cs="Times New Roman"/>
          <w:color w:val="000000"/>
          <w:sz w:val="32"/>
          <w:szCs w:val="32"/>
        </w:rPr>
        <w:t>实现对贫困人口健康的实时监测、疾病预警、慢病筛查、主动干预、个性化评估及提供网上健康服务，为村民开展保健指导、及时跟踪治疗常见病、慢性病和早发现潜在疾病等方面起到有力的技术支撑作用</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b/>
          <w:bCs/>
          <w:color w:val="000000"/>
          <w:kern w:val="0"/>
          <w:sz w:val="32"/>
          <w:szCs w:val="32"/>
        </w:rPr>
        <w:t>二是有效</w:t>
      </w:r>
      <w:r>
        <w:rPr>
          <w:rFonts w:hint="default" w:ascii="Times New Roman" w:hAnsi="Times New Roman" w:eastAsia="仿宋_GB2312" w:cs="Times New Roman"/>
          <w:b/>
          <w:bCs/>
          <w:color w:val="000000"/>
          <w:sz w:val="32"/>
          <w:szCs w:val="32"/>
        </w:rPr>
        <w:t>提升村医诊治能力。</w:t>
      </w:r>
      <w:r>
        <w:rPr>
          <w:rFonts w:hint="default" w:ascii="Times New Roman" w:hAnsi="Times New Roman" w:eastAsia="仿宋_GB2312" w:cs="Times New Roman"/>
          <w:color w:val="000000"/>
          <w:sz w:val="32"/>
          <w:szCs w:val="32"/>
        </w:rPr>
        <w:t>引入“AI医生”，实时为村医提供优质辅助诊断服务，给出最优诊疗方案，减少漏诊和误诊，提高村医诊疗水平。运用远程医疗平台，组织村医参加远程教育，改善村医知识结构，提高村医诊治能力。</w:t>
      </w:r>
      <w:r>
        <w:rPr>
          <w:rFonts w:hint="default" w:ascii="Times New Roman" w:hAnsi="Times New Roman" w:eastAsia="仿宋_GB2312" w:cs="Times New Roman"/>
          <w:b/>
          <w:bCs/>
          <w:color w:val="000000"/>
          <w:sz w:val="32"/>
          <w:szCs w:val="32"/>
        </w:rPr>
        <w:t>三是村民看病难问题得到进步一缓解。</w:t>
      </w:r>
      <w:r>
        <w:rPr>
          <w:rFonts w:hint="default" w:ascii="Times New Roman" w:hAnsi="Times New Roman" w:eastAsia="仿宋_GB2312" w:cs="Times New Roman"/>
          <w:color w:val="000000"/>
          <w:sz w:val="32"/>
          <w:szCs w:val="32"/>
        </w:rPr>
        <w:t>依托省远程医疗平台，为贫困村村民</w:t>
      </w:r>
      <w:r>
        <w:rPr>
          <w:rFonts w:hint="default" w:ascii="Times New Roman" w:hAnsi="Times New Roman" w:eastAsia="仿宋_GB2312" w:cs="Times New Roman"/>
          <w:color w:val="000000"/>
          <w:sz w:val="32"/>
          <w:szCs w:val="32"/>
          <w:lang w:eastAsia="zh-CN"/>
        </w:rPr>
        <w:t>提供</w:t>
      </w:r>
      <w:r>
        <w:rPr>
          <w:rFonts w:hint="default" w:ascii="Times New Roman" w:hAnsi="Times New Roman" w:eastAsia="仿宋_GB2312" w:cs="Times New Roman"/>
          <w:color w:val="000000"/>
          <w:sz w:val="32"/>
          <w:szCs w:val="32"/>
        </w:rPr>
        <w:t>远程会诊、远程门诊、远程心电服务，村民不出村就能享受到县级医院、甚至市、省三甲医院优质医疗资源，</w:t>
      </w:r>
      <w:r>
        <w:rPr>
          <w:rFonts w:hint="default" w:ascii="Times New Roman" w:hAnsi="Times New Roman" w:eastAsia="仿宋_GB2312" w:cs="Times New Roman"/>
          <w:color w:val="000000"/>
          <w:sz w:val="32"/>
          <w:szCs w:val="32"/>
          <w:lang w:eastAsia="zh-CN"/>
        </w:rPr>
        <w:t>有</w:t>
      </w:r>
      <w:r>
        <w:rPr>
          <w:rFonts w:hint="default" w:ascii="Times New Roman" w:hAnsi="Times New Roman" w:eastAsia="仿宋_GB2312" w:cs="Times New Roman"/>
          <w:color w:val="000000"/>
          <w:sz w:val="32"/>
          <w:szCs w:val="32"/>
        </w:rPr>
        <w:t>效缓解村民看病难、看病贵等问题。</w:t>
      </w:r>
      <w:r>
        <w:rPr>
          <w:rFonts w:hint="default" w:ascii="Times New Roman" w:hAnsi="Times New Roman" w:eastAsia="仿宋_GB2312" w:cs="Times New Roman"/>
          <w:b/>
          <w:bCs/>
          <w:color w:val="000000"/>
          <w:sz w:val="32"/>
          <w:szCs w:val="32"/>
        </w:rPr>
        <w:t>四是村民健康档案数据质量进一步提升。</w:t>
      </w:r>
      <w:r>
        <w:rPr>
          <w:rFonts w:hint="default" w:ascii="Times New Roman" w:hAnsi="Times New Roman" w:eastAsia="仿宋_GB2312" w:cs="Times New Roman"/>
          <w:color w:val="000000"/>
          <w:sz w:val="32"/>
          <w:szCs w:val="32"/>
        </w:rPr>
        <w:t>随着健康信息化管理水平的提高，</w:t>
      </w:r>
      <w:r>
        <w:rPr>
          <w:rFonts w:hint="default" w:ascii="Times New Roman" w:hAnsi="Times New Roman" w:eastAsia="仿宋_GB2312" w:cs="Times New Roman"/>
          <w:color w:val="000000"/>
          <w:sz w:val="32"/>
          <w:szCs w:val="32"/>
          <w:lang w:eastAsia="zh-CN"/>
        </w:rPr>
        <w:t>减少</w:t>
      </w:r>
      <w:r>
        <w:rPr>
          <w:rFonts w:hint="default" w:ascii="Times New Roman" w:hAnsi="Times New Roman" w:eastAsia="仿宋_GB2312" w:cs="Times New Roman"/>
          <w:color w:val="000000"/>
          <w:sz w:val="32"/>
          <w:szCs w:val="32"/>
        </w:rPr>
        <w:t>村医手工记录村民健康档案信息，实现村民电子健康档案</w:t>
      </w:r>
      <w:r>
        <w:rPr>
          <w:rFonts w:hint="default" w:ascii="Times New Roman" w:hAnsi="Times New Roman" w:eastAsia="仿宋_GB2312" w:cs="Times New Roman"/>
          <w:color w:val="000000"/>
          <w:sz w:val="32"/>
          <w:szCs w:val="32"/>
          <w:lang w:eastAsia="zh-CN"/>
        </w:rPr>
        <w:t>高效采集、及时</w:t>
      </w:r>
      <w:r>
        <w:rPr>
          <w:rFonts w:hint="default" w:ascii="Times New Roman" w:hAnsi="Times New Roman" w:eastAsia="仿宋_GB2312" w:cs="Times New Roman"/>
          <w:color w:val="000000"/>
          <w:sz w:val="32"/>
          <w:szCs w:val="32"/>
        </w:rPr>
        <w:t>共享，动态掌握贫困人口健康状况，及时进行个体的健康干预。</w:t>
      </w:r>
    </w:p>
    <w:p>
      <w:pPr>
        <w:snapToGrid w:val="0"/>
        <w:spacing w:beforeLines="0" w:afterLines="0" w:line="560" w:lineRule="exact"/>
        <w:ind w:firstLine="606" w:firstLineChars="200"/>
        <w:rPr>
          <w:rFonts w:hint="default" w:ascii="Times New Roman" w:hAnsi="Times New Roman" w:eastAsia="仿宋_GB2312" w:cs="Times New Roman"/>
          <w:b/>
          <w:bCs/>
          <w:color w:val="000000"/>
          <w:kern w:val="0"/>
          <w:sz w:val="32"/>
          <w:szCs w:val="32"/>
          <w:lang w:bidi="ar"/>
        </w:rPr>
      </w:pPr>
      <w:r>
        <w:rPr>
          <w:rFonts w:hint="default" w:ascii="Times New Roman" w:hAnsi="Times New Roman" w:eastAsia="楷体_GB2312" w:cs="Times New Roman"/>
          <w:b w:val="0"/>
          <w:bCs w:val="0"/>
          <w:color w:val="000000"/>
          <w:kern w:val="0"/>
          <w:sz w:val="32"/>
          <w:szCs w:val="32"/>
        </w:rPr>
        <w:t>（三）</w:t>
      </w:r>
      <w:r>
        <w:rPr>
          <w:rFonts w:hint="default" w:ascii="Times New Roman" w:hAnsi="Times New Roman" w:eastAsia="楷体_GB2312" w:cs="Times New Roman"/>
          <w:b w:val="0"/>
          <w:bCs w:val="0"/>
          <w:color w:val="000000"/>
          <w:kern w:val="0"/>
          <w:sz w:val="32"/>
          <w:szCs w:val="32"/>
          <w:lang w:eastAsia="zh-CN"/>
        </w:rPr>
        <w:t>有效提升</w:t>
      </w:r>
      <w:r>
        <w:rPr>
          <w:rFonts w:hint="default" w:ascii="Times New Roman" w:hAnsi="Times New Roman" w:eastAsia="楷体_GB2312" w:cs="Times New Roman"/>
          <w:b w:val="0"/>
          <w:bCs w:val="0"/>
          <w:color w:val="000000"/>
          <w:kern w:val="0"/>
          <w:sz w:val="32"/>
          <w:szCs w:val="32"/>
        </w:rPr>
        <w:t>基层医疗卫生机构</w:t>
      </w:r>
      <w:r>
        <w:rPr>
          <w:rFonts w:hint="default" w:ascii="Times New Roman" w:hAnsi="Times New Roman" w:eastAsia="楷体_GB2312" w:cs="Times New Roman"/>
          <w:b w:val="0"/>
          <w:bCs w:val="0"/>
          <w:color w:val="000000"/>
          <w:sz w:val="32"/>
          <w:szCs w:val="32"/>
        </w:rPr>
        <w:t>经济效益</w:t>
      </w:r>
      <w:r>
        <w:rPr>
          <w:rFonts w:hint="default" w:ascii="Times New Roman" w:hAnsi="Times New Roman" w:eastAsia="楷体_GB2312" w:cs="Times New Roman"/>
          <w:b w:val="0"/>
          <w:bCs w:val="0"/>
          <w:color w:val="000000"/>
          <w:sz w:val="32"/>
          <w:szCs w:val="32"/>
          <w:lang w:eastAsia="zh-CN"/>
        </w:rPr>
        <w:t>，促进机构</w:t>
      </w:r>
      <w:r>
        <w:rPr>
          <w:rFonts w:hint="default" w:ascii="Times New Roman" w:hAnsi="Times New Roman" w:eastAsia="楷体_GB2312" w:cs="Times New Roman"/>
          <w:b w:val="0"/>
          <w:bCs w:val="0"/>
          <w:color w:val="000000"/>
          <w:sz w:val="32"/>
          <w:szCs w:val="32"/>
        </w:rPr>
        <w:t>趋向良性发展</w:t>
      </w:r>
      <w:r>
        <w:rPr>
          <w:rFonts w:hint="default" w:ascii="Times New Roman" w:hAnsi="Times New Roman" w:eastAsia="楷体_GB2312" w:cs="Times New Roman"/>
          <w:b w:val="0"/>
          <w:bCs w:val="0"/>
          <w:color w:val="000000"/>
          <w:sz w:val="32"/>
          <w:szCs w:val="32"/>
          <w:lang w:eastAsia="zh-CN"/>
        </w:rPr>
        <w:t>。</w:t>
      </w:r>
      <w:r>
        <w:rPr>
          <w:rFonts w:hint="default" w:ascii="Times New Roman" w:hAnsi="Times New Roman" w:eastAsia="仿宋_GB2312" w:cs="Times New Roman"/>
          <w:color w:val="000000"/>
          <w:sz w:val="32"/>
          <w:szCs w:val="32"/>
        </w:rPr>
        <w:t>随着医改的持续推进，特别是近年</w:t>
      </w:r>
      <w:r>
        <w:rPr>
          <w:rFonts w:hint="default" w:ascii="Times New Roman" w:hAnsi="Times New Roman" w:eastAsia="仿宋_GB2312" w:cs="Times New Roman"/>
          <w:color w:val="000000"/>
          <w:sz w:val="32"/>
          <w:szCs w:val="32"/>
          <w:lang w:eastAsia="zh-CN"/>
        </w:rPr>
        <w:t>实施加强基层医疗卫生服务能力以来</w:t>
      </w:r>
      <w:r>
        <w:rPr>
          <w:rFonts w:hint="default" w:ascii="Times New Roman" w:hAnsi="Times New Roman" w:eastAsia="仿宋_GB2312" w:cs="Times New Roman"/>
          <w:color w:val="000000"/>
          <w:sz w:val="32"/>
          <w:szCs w:val="32"/>
        </w:rPr>
        <w:t>，基层短板得到不断补齐，设施设备等硬件不断完善，医技能力等软件不断加强。</w:t>
      </w:r>
      <w:r>
        <w:rPr>
          <w:rFonts w:hint="default" w:ascii="Times New Roman" w:hAnsi="Times New Roman" w:eastAsia="仿宋_GB2312" w:cs="Times New Roman"/>
          <w:b/>
          <w:bCs/>
          <w:color w:val="000000"/>
          <w:sz w:val="32"/>
          <w:szCs w:val="32"/>
        </w:rPr>
        <w:t>一是</w:t>
      </w:r>
      <w:r>
        <w:rPr>
          <w:rFonts w:hint="default" w:ascii="Times New Roman" w:hAnsi="Times New Roman" w:eastAsia="仿宋_GB2312" w:cs="Times New Roman"/>
          <w:color w:val="000000"/>
          <w:sz w:val="32"/>
          <w:szCs w:val="32"/>
        </w:rPr>
        <w:t>基层医护人员得到针对性培训，诊疗水平有了较大提升，</w:t>
      </w:r>
      <w:r>
        <w:rPr>
          <w:rFonts w:hint="default" w:ascii="Times New Roman" w:hAnsi="Times New Roman" w:eastAsia="仿宋_GB2312" w:cs="Times New Roman"/>
          <w:b/>
          <w:bCs/>
          <w:color w:val="000000"/>
          <w:sz w:val="32"/>
          <w:szCs w:val="32"/>
        </w:rPr>
        <w:t>二是</w:t>
      </w:r>
      <w:r>
        <w:rPr>
          <w:rFonts w:hint="default" w:ascii="Times New Roman" w:hAnsi="Times New Roman" w:eastAsia="仿宋_GB2312" w:cs="Times New Roman"/>
          <w:color w:val="000000"/>
          <w:sz w:val="32"/>
          <w:szCs w:val="32"/>
        </w:rPr>
        <w:t>长效稳定的收入待遇和职称晋升保障机制，基本保证了培养的人才愿意留下来，</w:t>
      </w:r>
      <w:r>
        <w:rPr>
          <w:rFonts w:hint="default" w:ascii="Times New Roman" w:hAnsi="Times New Roman" w:eastAsia="仿宋_GB2312" w:cs="Times New Roman"/>
          <w:b/>
          <w:bCs/>
          <w:color w:val="000000"/>
          <w:sz w:val="32"/>
          <w:szCs w:val="32"/>
        </w:rPr>
        <w:t>三是</w:t>
      </w:r>
      <w:r>
        <w:rPr>
          <w:rFonts w:hint="default" w:ascii="Times New Roman" w:hAnsi="Times New Roman" w:eastAsia="仿宋_GB2312" w:cs="Times New Roman"/>
          <w:color w:val="000000"/>
          <w:sz w:val="32"/>
          <w:szCs w:val="32"/>
        </w:rPr>
        <w:t>有系统聘任的专家队伍进一步充实了基层卫生人才队伍，</w:t>
      </w:r>
      <w:r>
        <w:rPr>
          <w:rFonts w:hint="default" w:ascii="Times New Roman" w:hAnsi="Times New Roman" w:eastAsia="仿宋_GB2312" w:cs="Times New Roman"/>
          <w:b/>
          <w:bCs/>
          <w:color w:val="000000"/>
          <w:sz w:val="32"/>
          <w:szCs w:val="32"/>
        </w:rPr>
        <w:t>四是</w:t>
      </w:r>
      <w:r>
        <w:rPr>
          <w:rFonts w:hint="default" w:ascii="Times New Roman" w:hAnsi="Times New Roman" w:eastAsia="仿宋_GB2312" w:cs="Times New Roman"/>
          <w:color w:val="000000"/>
          <w:sz w:val="32"/>
          <w:szCs w:val="32"/>
        </w:rPr>
        <w:t>各类医联体的推进，城市医院专家直接下沉到基层卫生机构，</w:t>
      </w:r>
      <w:r>
        <w:rPr>
          <w:rFonts w:hint="default" w:ascii="Times New Roman" w:hAnsi="Times New Roman" w:eastAsia="仿宋_GB2312" w:cs="Times New Roman"/>
          <w:color w:val="000000"/>
          <w:sz w:val="32"/>
          <w:szCs w:val="32"/>
          <w:lang w:eastAsia="zh-CN"/>
        </w:rPr>
        <w:t>各项</w:t>
      </w:r>
      <w:r>
        <w:rPr>
          <w:rFonts w:hint="default" w:ascii="Times New Roman" w:hAnsi="Times New Roman" w:eastAsia="仿宋_GB2312" w:cs="Times New Roman"/>
          <w:color w:val="000000"/>
          <w:sz w:val="32"/>
          <w:szCs w:val="32"/>
        </w:rPr>
        <w:t>民生措施</w:t>
      </w:r>
      <w:r>
        <w:rPr>
          <w:rFonts w:hint="default" w:ascii="Times New Roman" w:hAnsi="Times New Roman" w:eastAsia="仿宋_GB2312" w:cs="Times New Roman"/>
          <w:color w:val="000000"/>
          <w:sz w:val="32"/>
          <w:szCs w:val="32"/>
          <w:lang w:eastAsia="zh-CN"/>
        </w:rPr>
        <w:t>实施</w:t>
      </w:r>
      <w:r>
        <w:rPr>
          <w:rFonts w:hint="default" w:ascii="Times New Roman" w:hAnsi="Times New Roman" w:eastAsia="仿宋_GB2312" w:cs="Times New Roman"/>
          <w:color w:val="000000"/>
          <w:sz w:val="32"/>
          <w:szCs w:val="32"/>
        </w:rPr>
        <w:t>，促使基层医疗机构的整体医技水平</w:t>
      </w:r>
      <w:r>
        <w:rPr>
          <w:rFonts w:hint="default" w:ascii="Times New Roman" w:hAnsi="Times New Roman" w:eastAsia="仿宋_GB2312" w:cs="Times New Roman"/>
          <w:color w:val="000000"/>
          <w:sz w:val="32"/>
          <w:szCs w:val="32"/>
          <w:lang w:eastAsia="zh-CN"/>
        </w:rPr>
        <w:t>提质增效</w:t>
      </w:r>
      <w:r>
        <w:rPr>
          <w:rFonts w:hint="default" w:ascii="Times New Roman" w:hAnsi="Times New Roman" w:eastAsia="仿宋_GB2312" w:cs="Times New Roman"/>
          <w:color w:val="000000"/>
          <w:sz w:val="32"/>
          <w:szCs w:val="32"/>
        </w:rPr>
        <w:t>，赢得了群众的信任，病人“逆向”流动的状况有所改变，开始“顺向”留在县域看病治疗。</w:t>
      </w:r>
      <w:r>
        <w:rPr>
          <w:rFonts w:hint="default" w:ascii="Times New Roman" w:hAnsi="Times New Roman" w:eastAsia="仿宋_GB2312" w:cs="Times New Roman"/>
          <w:color w:val="000000"/>
          <w:sz w:val="32"/>
          <w:szCs w:val="32"/>
          <w:shd w:val="clear" w:color="auto" w:fill="FFFFFF"/>
        </w:rPr>
        <w:t>据统计，2019年全省县域内住院率超过84%，基本实现大病不出县。</w:t>
      </w:r>
      <w:r>
        <w:rPr>
          <w:rFonts w:hint="default" w:ascii="Times New Roman" w:hAnsi="Times New Roman" w:eastAsia="仿宋_GB2312" w:cs="Times New Roman"/>
          <w:color w:val="000000"/>
          <w:sz w:val="32"/>
          <w:szCs w:val="32"/>
          <w:lang w:eastAsia="zh-CN"/>
        </w:rPr>
        <w:t>五是</w:t>
      </w:r>
      <w:r>
        <w:rPr>
          <w:rFonts w:hint="default" w:ascii="Times New Roman" w:hAnsi="Times New Roman" w:eastAsia="仿宋_GB2312" w:cs="Times New Roman"/>
          <w:color w:val="000000"/>
          <w:sz w:val="32"/>
          <w:szCs w:val="32"/>
        </w:rPr>
        <w:t>随着</w:t>
      </w:r>
      <w:r>
        <w:rPr>
          <w:rFonts w:hint="default" w:ascii="Times New Roman" w:hAnsi="Times New Roman" w:eastAsia="仿宋_GB2312" w:cs="Times New Roman"/>
          <w:color w:val="000000"/>
          <w:sz w:val="32"/>
          <w:szCs w:val="32"/>
          <w:lang w:eastAsia="zh-CN"/>
        </w:rPr>
        <w:t>就医</w:t>
      </w:r>
      <w:r>
        <w:rPr>
          <w:rFonts w:hint="default" w:ascii="Times New Roman" w:hAnsi="Times New Roman" w:eastAsia="仿宋_GB2312" w:cs="Times New Roman"/>
          <w:color w:val="000000"/>
          <w:sz w:val="32"/>
          <w:szCs w:val="32"/>
        </w:rPr>
        <w:t>的病患增加，</w:t>
      </w:r>
      <w:r>
        <w:rPr>
          <w:rFonts w:hint="default" w:ascii="Times New Roman" w:hAnsi="Times New Roman" w:eastAsia="仿宋_GB2312" w:cs="Times New Roman"/>
          <w:color w:val="000000"/>
          <w:sz w:val="32"/>
          <w:szCs w:val="32"/>
          <w:lang w:eastAsia="zh-CN"/>
        </w:rPr>
        <w:t>提高</w:t>
      </w:r>
      <w:r>
        <w:rPr>
          <w:rFonts w:hint="default" w:ascii="Times New Roman" w:hAnsi="Times New Roman" w:eastAsia="仿宋_GB2312" w:cs="Times New Roman"/>
          <w:color w:val="000000"/>
          <w:sz w:val="32"/>
          <w:szCs w:val="32"/>
        </w:rPr>
        <w:t>了基层医疗</w:t>
      </w:r>
      <w:r>
        <w:rPr>
          <w:rFonts w:hint="default" w:ascii="Times New Roman" w:hAnsi="Times New Roman" w:eastAsia="仿宋_GB2312" w:cs="Times New Roman"/>
          <w:color w:val="000000"/>
          <w:sz w:val="32"/>
          <w:szCs w:val="32"/>
          <w:lang w:eastAsia="zh-CN"/>
        </w:rPr>
        <w:t>卫生</w:t>
      </w:r>
      <w:r>
        <w:rPr>
          <w:rFonts w:hint="default" w:ascii="Times New Roman" w:hAnsi="Times New Roman" w:eastAsia="仿宋_GB2312" w:cs="Times New Roman"/>
          <w:color w:val="000000"/>
          <w:sz w:val="32"/>
          <w:szCs w:val="32"/>
        </w:rPr>
        <w:t>机构收入，</w:t>
      </w:r>
      <w:r>
        <w:rPr>
          <w:rFonts w:hint="default" w:ascii="Times New Roman" w:hAnsi="Times New Roman" w:eastAsia="仿宋_GB2312" w:cs="Times New Roman"/>
          <w:color w:val="000000"/>
          <w:sz w:val="32"/>
          <w:szCs w:val="32"/>
          <w:lang w:eastAsia="zh-CN"/>
        </w:rPr>
        <w:t>取得</w:t>
      </w:r>
      <w:r>
        <w:rPr>
          <w:rFonts w:hint="default" w:ascii="Times New Roman" w:hAnsi="Times New Roman" w:eastAsia="仿宋_GB2312" w:cs="Times New Roman"/>
          <w:color w:val="000000"/>
          <w:sz w:val="32"/>
          <w:szCs w:val="32"/>
        </w:rPr>
        <w:t>了较好的经济</w:t>
      </w:r>
      <w:r>
        <w:rPr>
          <w:rFonts w:hint="default" w:ascii="Times New Roman" w:hAnsi="Times New Roman" w:eastAsia="仿宋_GB2312" w:cs="Times New Roman"/>
          <w:color w:val="000000"/>
          <w:sz w:val="32"/>
          <w:szCs w:val="32"/>
          <w:lang w:eastAsia="zh-CN"/>
        </w:rPr>
        <w:t>社会</w:t>
      </w:r>
      <w:r>
        <w:rPr>
          <w:rFonts w:hint="default" w:ascii="Times New Roman" w:hAnsi="Times New Roman" w:eastAsia="仿宋_GB2312" w:cs="Times New Roman"/>
          <w:color w:val="000000"/>
          <w:sz w:val="32"/>
          <w:szCs w:val="32"/>
        </w:rPr>
        <w:t>效益，</w:t>
      </w:r>
      <w:r>
        <w:rPr>
          <w:rFonts w:hint="default" w:ascii="Times New Roman" w:hAnsi="Times New Roman" w:eastAsia="仿宋_GB2312" w:cs="Times New Roman"/>
          <w:color w:val="000000"/>
          <w:sz w:val="32"/>
          <w:szCs w:val="32"/>
          <w:lang w:eastAsia="zh-CN"/>
        </w:rPr>
        <w:t>促进了</w:t>
      </w:r>
      <w:r>
        <w:rPr>
          <w:rFonts w:hint="default" w:ascii="Times New Roman" w:hAnsi="Times New Roman" w:eastAsia="仿宋_GB2312" w:cs="Times New Roman"/>
          <w:color w:val="000000"/>
          <w:sz w:val="32"/>
          <w:szCs w:val="32"/>
        </w:rPr>
        <w:t>基层医疗卫生机构良性发展。</w:t>
      </w:r>
    </w:p>
    <w:p>
      <w:pPr>
        <w:widowControl/>
        <w:numPr>
          <w:ilvl w:val="0"/>
          <w:numId w:val="0"/>
        </w:numPr>
        <w:spacing w:beforeLines="0" w:afterLines="0" w:line="560" w:lineRule="exact"/>
        <w:ind w:firstLine="606" w:firstLineChars="200"/>
        <w:rPr>
          <w:rFonts w:hint="default" w:ascii="Times New Roman" w:hAnsi="Times New Roman" w:eastAsia="黑体" w:cs="Times New Roman"/>
          <w:b w:val="0"/>
          <w:bCs w:val="0"/>
          <w:color w:val="000000"/>
          <w:kern w:val="0"/>
          <w:sz w:val="32"/>
          <w:szCs w:val="32"/>
          <w:lang w:bidi="ar"/>
        </w:rPr>
      </w:pPr>
      <w:r>
        <w:rPr>
          <w:rFonts w:hint="default" w:ascii="Times New Roman" w:hAnsi="Times New Roman" w:eastAsia="黑体" w:cs="Times New Roman"/>
          <w:b w:val="0"/>
          <w:bCs w:val="0"/>
          <w:color w:val="000000"/>
          <w:kern w:val="0"/>
          <w:sz w:val="32"/>
          <w:szCs w:val="32"/>
          <w:lang w:eastAsia="zh-CN" w:bidi="ar"/>
        </w:rPr>
        <w:t>五、</w:t>
      </w:r>
      <w:r>
        <w:rPr>
          <w:rFonts w:hint="default" w:ascii="Times New Roman" w:hAnsi="Times New Roman" w:eastAsia="黑体" w:cs="Times New Roman"/>
          <w:b w:val="0"/>
          <w:bCs w:val="0"/>
          <w:color w:val="000000"/>
          <w:kern w:val="0"/>
          <w:sz w:val="32"/>
          <w:szCs w:val="32"/>
          <w:lang w:bidi="ar"/>
        </w:rPr>
        <w:t>存在问题</w:t>
      </w:r>
    </w:p>
    <w:p>
      <w:pPr>
        <w:widowControl w:val="0"/>
        <w:adjustRightInd w:val="0"/>
        <w:snapToGrid w:val="0"/>
        <w:spacing w:beforeLines="0" w:after="0" w:afterLines="0" w:line="560" w:lineRule="exact"/>
        <w:ind w:firstLine="606" w:firstLineChars="200"/>
        <w:jc w:val="both"/>
        <w:rPr>
          <w:rFonts w:hint="default" w:ascii="Times New Roman" w:hAnsi="Times New Roman" w:eastAsia="仿宋_GB2312" w:cs="Times New Roman"/>
          <w:color w:val="000000"/>
          <w:sz w:val="32"/>
          <w:szCs w:val="32"/>
          <w:lang w:bidi="ar"/>
        </w:rPr>
      </w:pPr>
      <w:r>
        <w:rPr>
          <w:rFonts w:hint="default" w:ascii="Times New Roman" w:hAnsi="Times New Roman" w:eastAsia="楷体_GB2312" w:cs="Times New Roman"/>
          <w:b w:val="0"/>
          <w:bCs w:val="0"/>
          <w:color w:val="000000"/>
          <w:kern w:val="0"/>
          <w:sz w:val="32"/>
          <w:szCs w:val="32"/>
          <w:lang w:val="en-US" w:eastAsia="zh-CN" w:bidi="ar-SA"/>
        </w:rPr>
        <w:t>（一）部分地区和部门对项目实施重视程度不够。</w:t>
      </w:r>
      <w:r>
        <w:rPr>
          <w:rFonts w:hint="default" w:ascii="Times New Roman" w:hAnsi="Times New Roman" w:eastAsia="仿宋_GB2312" w:cs="Times New Roman"/>
          <w:color w:val="000000"/>
          <w:kern w:val="0"/>
          <w:sz w:val="32"/>
          <w:szCs w:val="32"/>
          <w:lang w:bidi="ar"/>
        </w:rPr>
        <w:t>基层医疗人才队伍和服务能力建设</w:t>
      </w:r>
      <w:r>
        <w:rPr>
          <w:rFonts w:hint="default" w:ascii="Times New Roman" w:hAnsi="Times New Roman" w:eastAsia="仿宋_GB2312" w:cs="Times New Roman"/>
          <w:color w:val="000000"/>
          <w:kern w:val="0"/>
          <w:sz w:val="32"/>
          <w:szCs w:val="32"/>
          <w:lang w:eastAsia="zh-CN" w:bidi="ar"/>
        </w:rPr>
        <w:t>项目实施涉及人社、财政、教育等多部门，而且各地情况各异，统筹协调难度比较大，加上目前人才流向、就业意向、福利待遇等因素影响，导致项目实施效果大打折扣。</w:t>
      </w:r>
    </w:p>
    <w:p>
      <w:pPr>
        <w:spacing w:beforeLines="0" w:afterLines="0" w:line="560" w:lineRule="exact"/>
        <w:ind w:firstLine="606" w:firstLineChars="200"/>
        <w:rPr>
          <w:rFonts w:hint="default" w:ascii="Times New Roman" w:hAnsi="Times New Roman" w:eastAsia="仿宋_GB2312" w:cs="Times New Roman"/>
          <w:b w:val="0"/>
          <w:bCs w:val="0"/>
          <w:color w:val="000000"/>
          <w:sz w:val="32"/>
          <w:szCs w:val="32"/>
          <w:shd w:val="clear" w:color="auto" w:fill="FFFFFF"/>
          <w:lang w:eastAsia="zh-CN"/>
        </w:rPr>
      </w:pPr>
      <w:r>
        <w:rPr>
          <w:rFonts w:hint="default" w:ascii="Times New Roman" w:hAnsi="Times New Roman" w:eastAsia="楷体_GB2312" w:cs="Times New Roman"/>
          <w:b w:val="0"/>
          <w:bCs w:val="0"/>
          <w:color w:val="000000"/>
          <w:sz w:val="32"/>
          <w:szCs w:val="32"/>
          <w:shd w:val="clear" w:color="auto" w:fill="FFFFFF"/>
        </w:rPr>
        <w:t>（二）</w:t>
      </w:r>
      <w:r>
        <w:rPr>
          <w:rFonts w:hint="default" w:ascii="Times New Roman" w:hAnsi="Times New Roman" w:eastAsia="楷体_GB2312" w:cs="Times New Roman"/>
          <w:b w:val="0"/>
          <w:bCs w:val="0"/>
          <w:color w:val="000000"/>
          <w:sz w:val="32"/>
          <w:szCs w:val="32"/>
          <w:shd w:val="clear" w:color="auto" w:fill="FFFFFF"/>
          <w:lang w:eastAsia="zh-CN"/>
        </w:rPr>
        <w:t>绩效评价信息化程度不够高。</w:t>
      </w:r>
      <w:r>
        <w:rPr>
          <w:rFonts w:hint="default" w:ascii="Times New Roman" w:hAnsi="Times New Roman" w:eastAsia="仿宋_GB2312" w:cs="Times New Roman"/>
          <w:b w:val="0"/>
          <w:bCs w:val="0"/>
          <w:color w:val="000000"/>
          <w:sz w:val="32"/>
          <w:szCs w:val="32"/>
          <w:shd w:val="clear" w:color="auto" w:fill="FFFFFF"/>
          <w:lang w:eastAsia="zh-CN"/>
        </w:rPr>
        <w:t>项目专项资金绩效评价涉及面广、链条长，全面客观评价需要依托信息化支持，加上项目实施的许多方面涉及到过程数据信息收集，绩效评价信息化程度制约以上工作开展。</w:t>
      </w:r>
    </w:p>
    <w:p>
      <w:pPr>
        <w:spacing w:beforeLines="0" w:afterLines="0" w:line="560" w:lineRule="exact"/>
        <w:ind w:firstLine="606" w:firstLineChars="200"/>
        <w:rPr>
          <w:rFonts w:hint="default" w:ascii="Times New Roman" w:hAnsi="Times New Roman" w:eastAsia="仿宋_GB2312" w:cs="Times New Roman"/>
          <w:b w:val="0"/>
          <w:bCs w:val="0"/>
          <w:color w:val="000000"/>
          <w:sz w:val="32"/>
          <w:szCs w:val="32"/>
          <w:shd w:val="clear" w:color="auto" w:fill="FFFFFF"/>
          <w:lang w:eastAsia="zh-CN"/>
        </w:rPr>
      </w:pPr>
      <w:r>
        <w:rPr>
          <w:rFonts w:hint="default" w:ascii="Times New Roman" w:hAnsi="Times New Roman" w:eastAsia="楷体_GB2312" w:cs="Times New Roman"/>
          <w:b w:val="0"/>
          <w:bCs w:val="0"/>
          <w:color w:val="000000"/>
          <w:sz w:val="32"/>
          <w:szCs w:val="32"/>
          <w:shd w:val="clear" w:color="auto" w:fill="FFFFFF"/>
          <w:lang w:eastAsia="zh-CN"/>
        </w:rPr>
        <w:t>（三）部分人才培训培养项目投入不足。</w:t>
      </w:r>
      <w:r>
        <w:rPr>
          <w:rFonts w:hint="default" w:ascii="Times New Roman" w:hAnsi="Times New Roman" w:eastAsia="仿宋_GB2312" w:cs="Times New Roman"/>
          <w:color w:val="000000"/>
          <w:kern w:val="0"/>
          <w:sz w:val="32"/>
          <w:szCs w:val="32"/>
          <w:lang w:bidi="ar"/>
        </w:rPr>
        <w:t>基层医疗人才队伍和服务能力建设</w:t>
      </w:r>
      <w:r>
        <w:rPr>
          <w:rFonts w:hint="default" w:ascii="Times New Roman" w:hAnsi="Times New Roman" w:eastAsia="仿宋_GB2312" w:cs="Times New Roman"/>
          <w:color w:val="000000"/>
          <w:kern w:val="0"/>
          <w:sz w:val="32"/>
          <w:szCs w:val="32"/>
          <w:lang w:eastAsia="zh-CN" w:bidi="ar"/>
        </w:rPr>
        <w:t>项目的部分项目资金不足，覆盖面小，如部分地市家庭医生项目三级学员培训数量不足，未取得三级学员“遍地开花”的效果。</w:t>
      </w:r>
    </w:p>
    <w:p>
      <w:pPr>
        <w:widowControl/>
        <w:spacing w:beforeLines="0" w:afterLines="0" w:line="560" w:lineRule="exact"/>
        <w:ind w:firstLine="606"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kern w:val="0"/>
          <w:sz w:val="32"/>
          <w:szCs w:val="32"/>
          <w:lang w:bidi="ar"/>
        </w:rPr>
        <w:t>六、相关建议</w:t>
      </w:r>
    </w:p>
    <w:p>
      <w:pPr>
        <w:spacing w:beforeLines="0" w:afterLines="0" w:line="560" w:lineRule="exact"/>
        <w:ind w:firstLine="606" w:firstLineChars="200"/>
        <w:rPr>
          <w:rFonts w:hint="default" w:ascii="Times New Roman" w:hAnsi="Times New Roman" w:eastAsia="仿宋_GB2312" w:cs="Times New Roman"/>
          <w:color w:val="000000"/>
          <w:kern w:val="0"/>
          <w:sz w:val="32"/>
          <w:szCs w:val="32"/>
          <w:lang w:val="zh-CN" w:eastAsia="zh-CN" w:bidi="ar-SA"/>
        </w:rPr>
      </w:pPr>
      <w:r>
        <w:rPr>
          <w:rFonts w:hint="default" w:ascii="Times New Roman" w:hAnsi="Times New Roman" w:eastAsia="楷体_GB2312" w:cs="Times New Roman"/>
          <w:b w:val="0"/>
          <w:bCs w:val="0"/>
          <w:color w:val="000000"/>
          <w:kern w:val="0"/>
          <w:sz w:val="32"/>
          <w:szCs w:val="32"/>
          <w:lang w:val="zh-CN" w:eastAsia="zh-CN" w:bidi="ar-SA"/>
        </w:rPr>
        <w:t>（一）落实地方财政资金使用绩效主体责任。</w:t>
      </w:r>
      <w:r>
        <w:rPr>
          <w:rFonts w:hint="default" w:ascii="Times New Roman" w:hAnsi="Times New Roman" w:eastAsia="仿宋_GB2312" w:cs="Times New Roman"/>
          <w:color w:val="000000"/>
          <w:kern w:val="0"/>
          <w:sz w:val="32"/>
          <w:szCs w:val="32"/>
          <w:lang w:bidi="ar"/>
        </w:rPr>
        <w:t>基层医疗人才队伍和服务能力建设</w:t>
      </w:r>
      <w:r>
        <w:rPr>
          <w:rFonts w:hint="default" w:ascii="Times New Roman" w:hAnsi="Times New Roman" w:eastAsia="仿宋_GB2312" w:cs="Times New Roman"/>
          <w:color w:val="000000"/>
          <w:kern w:val="0"/>
          <w:sz w:val="32"/>
          <w:szCs w:val="32"/>
          <w:lang w:eastAsia="zh-CN" w:bidi="ar"/>
        </w:rPr>
        <w:t>项目是</w:t>
      </w:r>
      <w:r>
        <w:rPr>
          <w:rFonts w:hint="default" w:ascii="Times New Roman" w:hAnsi="Times New Roman" w:eastAsia="仿宋_GB2312" w:cs="Times New Roman"/>
          <w:color w:val="000000"/>
          <w:kern w:val="0"/>
          <w:sz w:val="32"/>
          <w:szCs w:val="32"/>
          <w:lang w:val="zh-CN" w:eastAsia="zh-CN" w:bidi="ar-SA"/>
        </w:rPr>
        <w:t>加强基层医疗卫生服务能力建设的重要组成部分，也是落实省委省政府决策部署的重大民生工程，是提高县域服务基层群众能力的德政工程，也是落实健康广东建设的重要一环，需要压实地方政府主体责任，确保落实财政资金投入，加强对地方落实强基项目财政资金绩效考核力度，促进地方政府推进项目实施的积极性和主动性。</w:t>
      </w:r>
    </w:p>
    <w:p>
      <w:pPr>
        <w:spacing w:beforeLines="0" w:afterLines="0" w:line="560" w:lineRule="exact"/>
        <w:ind w:firstLine="606" w:firstLineChars="200"/>
        <w:outlineLvl w:val="9"/>
        <w:rPr>
          <w:rFonts w:hint="default" w:ascii="Times New Roman" w:hAnsi="Times New Roman" w:eastAsia="仿宋_GB2312" w:cs="Times New Roman"/>
          <w:color w:val="000000"/>
          <w:kern w:val="0"/>
          <w:sz w:val="32"/>
          <w:szCs w:val="32"/>
          <w:lang w:val="zh-CN" w:eastAsia="zh-CN" w:bidi="ar-SA"/>
        </w:rPr>
      </w:pPr>
      <w:r>
        <w:rPr>
          <w:rFonts w:hint="default" w:ascii="Times New Roman" w:hAnsi="Times New Roman" w:eastAsia="楷体_GB2312" w:cs="Times New Roman"/>
          <w:color w:val="000000"/>
          <w:sz w:val="32"/>
          <w:szCs w:val="32"/>
          <w:lang w:val="en-US" w:eastAsia="zh-CN"/>
        </w:rPr>
        <w:t>（二）督促市县贯彻全面预算绩效管理。</w:t>
      </w:r>
      <w:r>
        <w:rPr>
          <w:rFonts w:hint="default" w:ascii="Times New Roman" w:hAnsi="Times New Roman" w:eastAsia="仿宋_GB2312" w:cs="Times New Roman"/>
          <w:color w:val="000000"/>
          <w:sz w:val="32"/>
          <w:szCs w:val="32"/>
          <w:lang w:val="en-US" w:eastAsia="zh-CN"/>
        </w:rPr>
        <w:t>当前专项资金绩效管理工作尚有待加强，主要是“上热下冷”，省里对专项资金绩效评价体制机制已比较完善，但市县在推进专项资金绩效评价尚待加强。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（三）研究推进实施市县财政预算安排“四挂钩”制度。</w:t>
      </w:r>
      <w:r>
        <w:rPr>
          <w:rFonts w:hint="default" w:ascii="Times New Roman" w:hAnsi="Times New Roman" w:eastAsia="仿宋_GB2312" w:cs="Times New Roman"/>
          <w:color w:val="000000"/>
          <w:sz w:val="32"/>
          <w:szCs w:val="32"/>
          <w:lang w:val="en-US" w:eastAsia="zh-CN"/>
        </w:rPr>
        <w:t>按照省财政厅《关于印发〈广东省省级财政预算安排“四挂钩”试行办法〉的通知》（粤财预</w:t>
      </w:r>
      <w:r>
        <w:rPr>
          <w:rFonts w:hint="default" w:ascii="Times New Roman" w:hAnsi="Times New Roman" w:eastAsia="宋体"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2019</w:t>
      </w:r>
      <w:r>
        <w:rPr>
          <w:rFonts w:hint="default" w:ascii="Times New Roman" w:hAnsi="Times New Roman" w:eastAsia="宋体"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153号），省级试实施财政预算安排“四挂钩”制度，即将次年预算与当年的项目入库率、绩效评价结果、审计意见、执行进度指标挂钩，建议省财政部门尽快总结经验，研究推进实施市县财政预算安排“四挂钩”制度可行性，以便通过完善体制机制督促市县及时拨付资金和落实项目配套资金。</w:t>
      </w:r>
    </w:p>
    <w:p>
      <w:pPr>
        <w:spacing w:beforeLines="0" w:afterLines="0" w:line="560" w:lineRule="exact"/>
        <w:ind w:firstLine="606" w:firstLineChars="200"/>
        <w:rPr>
          <w:rFonts w:hint="default" w:ascii="Times New Roman" w:hAnsi="Times New Roman" w:eastAsia="仿宋_GB2312" w:cs="Times New Roman"/>
          <w:color w:val="000000"/>
          <w:kern w:val="0"/>
          <w:sz w:val="32"/>
          <w:szCs w:val="32"/>
          <w:lang w:val="zh-CN" w:eastAsia="zh-CN" w:bidi="ar-SA"/>
        </w:rPr>
      </w:pPr>
      <w:r>
        <w:rPr>
          <w:rFonts w:hint="default" w:ascii="Times New Roman" w:hAnsi="Times New Roman" w:eastAsia="楷体_GB2312" w:cs="Times New Roman"/>
          <w:b w:val="0"/>
          <w:bCs w:val="0"/>
          <w:color w:val="000000"/>
          <w:kern w:val="0"/>
          <w:sz w:val="32"/>
          <w:szCs w:val="32"/>
          <w:lang w:val="zh-CN" w:eastAsia="zh-CN" w:bidi="ar-SA"/>
        </w:rPr>
        <w:t>（四）建立全省统一的财政预算执行监控系统。</w:t>
      </w:r>
      <w:r>
        <w:rPr>
          <w:rFonts w:hint="default" w:ascii="Times New Roman" w:hAnsi="Times New Roman" w:eastAsia="仿宋_GB2312" w:cs="Times New Roman"/>
          <w:color w:val="000000"/>
          <w:kern w:val="0"/>
          <w:sz w:val="32"/>
          <w:szCs w:val="32"/>
          <w:lang w:val="zh-CN" w:eastAsia="zh-CN" w:bidi="ar-SA"/>
        </w:rPr>
        <w:t>建议省级财政部门建立涵盖全省各级财政的预算执行监控系统，并授予业务主管部门查询权限，以便业务主管部门能够全程监控项目实施及项目资金使用情况。</w:t>
      </w:r>
    </w:p>
    <w:p>
      <w:pPr>
        <w:spacing w:beforeLines="0" w:afterLines="0" w:line="560" w:lineRule="exact"/>
        <w:ind w:firstLine="606" w:firstLineChars="200"/>
        <w:rPr>
          <w:rFonts w:hint="default" w:ascii="Times New Roman" w:hAnsi="Times New Roman" w:eastAsia="仿宋_GB2312" w:cs="Times New Roman"/>
          <w:color w:val="000000"/>
          <w:kern w:val="0"/>
          <w:sz w:val="32"/>
          <w:szCs w:val="32"/>
          <w:lang w:val="zh-CN" w:eastAsia="zh-CN" w:bidi="ar-SA"/>
        </w:rPr>
      </w:pPr>
      <w:r>
        <w:rPr>
          <w:rFonts w:hint="default" w:ascii="Times New Roman" w:hAnsi="Times New Roman" w:eastAsia="楷体_GB2312" w:cs="Times New Roman"/>
          <w:b w:val="0"/>
          <w:bCs w:val="0"/>
          <w:color w:val="000000"/>
          <w:kern w:val="0"/>
          <w:sz w:val="32"/>
          <w:szCs w:val="32"/>
          <w:lang w:val="zh-CN" w:eastAsia="zh-CN" w:bidi="ar-SA"/>
        </w:rPr>
        <w:t>（五）继续强化绩效考核结果应用力度。</w:t>
      </w:r>
      <w:r>
        <w:rPr>
          <w:rFonts w:hint="default" w:ascii="Times New Roman" w:hAnsi="Times New Roman" w:eastAsia="仿宋_GB2312" w:cs="Times New Roman"/>
          <w:color w:val="000000"/>
          <w:kern w:val="0"/>
          <w:sz w:val="32"/>
          <w:szCs w:val="32"/>
          <w:lang w:val="zh-CN" w:eastAsia="zh-CN" w:bidi="ar-SA"/>
        </w:rPr>
        <w:t>近些年以来，省财政厅与我委在推动医疗卫生专项资金绩效考核结果应用方面取得一定的成效，需要继续巩固提升，强化绩效考核结果应用力度，加强对落实财政资金绩效不积极的地区惩罚。</w:t>
      </w:r>
    </w:p>
    <w:p>
      <w:pPr>
        <w:spacing w:beforeLines="0" w:afterLines="0" w:line="560" w:lineRule="exact"/>
        <w:rPr>
          <w:rFonts w:hint="default" w:ascii="Times New Roman" w:hAnsi="Times New Roman" w:eastAsia="仿宋_GB2312" w:cs="Times New Roman"/>
          <w:color w:val="000000"/>
          <w:sz w:val="32"/>
          <w:szCs w:val="32"/>
        </w:rPr>
      </w:pPr>
    </w:p>
    <w:p>
      <w:pPr>
        <w:spacing w:line="530" w:lineRule="exact"/>
        <w:rPr>
          <w:rFonts w:hint="default" w:ascii="Times New Roman" w:hAnsi="Times New Roman" w:eastAsia="仿宋_GB2312" w:cs="Times New Roman"/>
          <w:color w:val="000000"/>
          <w:sz w:val="32"/>
          <w:szCs w:val="32"/>
        </w:rPr>
      </w:pPr>
    </w:p>
    <w:p>
      <w:pPr>
        <w:spacing w:line="530" w:lineRule="exact"/>
        <w:rPr>
          <w:rFonts w:hint="default" w:ascii="Times New Roman" w:hAnsi="Times New Roman" w:eastAsia="仿宋_GB2312" w:cs="Times New Roman"/>
          <w:color w:val="000000"/>
          <w:sz w:val="32"/>
          <w:szCs w:val="32"/>
        </w:rPr>
      </w:pPr>
    </w:p>
    <w:p>
      <w:pPr>
        <w:spacing w:line="530" w:lineRule="exact"/>
        <w:rPr>
          <w:rFonts w:hint="default" w:ascii="Times New Roman" w:hAnsi="Times New Roman" w:eastAsia="仿宋_GB2312" w:cs="Times New Roman"/>
          <w:color w:val="000000"/>
          <w:sz w:val="32"/>
          <w:szCs w:val="32"/>
        </w:rPr>
      </w:pPr>
    </w:p>
    <w:p>
      <w:pPr>
        <w:spacing w:line="530" w:lineRule="exact"/>
        <w:rPr>
          <w:rFonts w:hint="default" w:ascii="Times New Roman" w:hAnsi="Times New Roman" w:eastAsia="仿宋_GB2312" w:cs="Times New Roman"/>
          <w:color w:val="000000"/>
          <w:sz w:val="32"/>
          <w:szCs w:val="32"/>
        </w:rPr>
      </w:pPr>
    </w:p>
    <w:p>
      <w:pPr>
        <w:spacing w:line="530" w:lineRule="exact"/>
        <w:rPr>
          <w:rFonts w:hint="default" w:ascii="Times New Roman" w:hAnsi="Times New Roman" w:eastAsia="仿宋_GB2312" w:cs="Times New Roman"/>
          <w:color w:val="000000"/>
          <w:sz w:val="32"/>
          <w:szCs w:val="32"/>
        </w:rPr>
      </w:pPr>
    </w:p>
    <w:p>
      <w:pPr>
        <w:spacing w:line="530" w:lineRule="exact"/>
        <w:rPr>
          <w:rFonts w:hint="default" w:ascii="Times New Roman" w:hAnsi="Times New Roman" w:eastAsia="仿宋_GB2312" w:cs="Times New Roman"/>
          <w:color w:val="000000"/>
          <w:sz w:val="32"/>
          <w:szCs w:val="32"/>
        </w:rPr>
      </w:pPr>
    </w:p>
    <w:p>
      <w:pPr>
        <w:spacing w:line="530" w:lineRule="exact"/>
        <w:rPr>
          <w:rFonts w:hint="default" w:ascii="Times New Roman" w:hAnsi="Times New Roman" w:eastAsia="仿宋_GB2312" w:cs="Times New Roman"/>
          <w:color w:val="000000"/>
          <w:sz w:val="32"/>
          <w:szCs w:val="32"/>
        </w:rPr>
      </w:pPr>
    </w:p>
    <w:p>
      <w:pPr>
        <w:spacing w:line="530" w:lineRule="exact"/>
        <w:rPr>
          <w:rFonts w:hint="default" w:ascii="Times New Roman" w:hAnsi="Times New Roman" w:eastAsia="仿宋_GB2312" w:cs="Times New Roman"/>
          <w:color w:val="000000"/>
          <w:sz w:val="32"/>
          <w:szCs w:val="32"/>
        </w:rPr>
      </w:pPr>
    </w:p>
    <w:p>
      <w:pPr>
        <w:spacing w:line="530" w:lineRule="exact"/>
        <w:rPr>
          <w:rFonts w:hint="default" w:ascii="Times New Roman" w:hAnsi="Times New Roman" w:eastAsia="仿宋_GB2312" w:cs="Times New Roman"/>
          <w:color w:val="000000"/>
          <w:sz w:val="32"/>
          <w:szCs w:val="32"/>
        </w:rPr>
      </w:pPr>
    </w:p>
    <w:p>
      <w:pPr>
        <w:widowControl/>
        <w:spacing w:line="560" w:lineRule="exact"/>
        <w:jc w:val="left"/>
        <w:rPr>
          <w:rFonts w:hint="default" w:ascii="Times New Roman" w:hAnsi="Times New Roman" w:eastAsia="仿宋_GB2312" w:cs="Times New Roman"/>
          <w:color w:val="000000"/>
          <w:kern w:val="0"/>
          <w:sz w:val="32"/>
          <w:szCs w:val="32"/>
          <w:lang w:bidi="ar"/>
        </w:rPr>
        <w:sectPr>
          <w:footerReference r:id="rId6" w:type="default"/>
          <w:pgSz w:w="11906" w:h="16838"/>
          <w:pgMar w:top="2041" w:right="1531" w:bottom="2041" w:left="1531" w:header="851" w:footer="1332" w:gutter="0"/>
          <w:pgNumType w:fmt="numberInDash"/>
          <w:cols w:space="720" w:num="1"/>
          <w:rtlGutter w:val="0"/>
          <w:docGrid w:type="linesAndChars" w:linePitch="579" w:charSpace="-3633"/>
        </w:sectPr>
      </w:pPr>
    </w:p>
    <w:p>
      <w:pPr>
        <w:widowControl/>
        <w:spacing w:line="560" w:lineRule="exact"/>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附件</w:t>
      </w:r>
      <w:r>
        <w:rPr>
          <w:rFonts w:hint="default" w:ascii="Times New Roman" w:hAnsi="Times New Roman" w:eastAsia="仿宋_GB2312" w:cs="Times New Roman"/>
          <w:color w:val="000000"/>
          <w:kern w:val="0"/>
          <w:sz w:val="32"/>
          <w:szCs w:val="32"/>
          <w:lang w:bidi="ar"/>
        </w:rPr>
        <w:t>1</w:t>
      </w:r>
    </w:p>
    <w:p>
      <w:pPr>
        <w:widowControl/>
        <w:spacing w:line="560" w:lineRule="exact"/>
        <w:jc w:val="center"/>
        <w:rPr>
          <w:rFonts w:hint="default" w:ascii="Times New Roman" w:hAnsi="Times New Roman" w:eastAsia="方正小标宋简体" w:cs="Times New Roman"/>
          <w:color w:val="000000"/>
          <w:kern w:val="0"/>
          <w:sz w:val="32"/>
          <w:szCs w:val="32"/>
          <w:lang w:bidi="ar"/>
        </w:rPr>
      </w:pPr>
      <w:r>
        <w:rPr>
          <w:rFonts w:hint="default" w:ascii="Times New Roman" w:hAnsi="Times New Roman" w:eastAsia="方正小标宋简体" w:cs="Times New Roman"/>
          <w:color w:val="000000"/>
          <w:kern w:val="0"/>
          <w:sz w:val="32"/>
          <w:szCs w:val="32"/>
          <w:lang w:bidi="ar"/>
        </w:rPr>
        <w:t>基础信息表</w:t>
      </w:r>
    </w:p>
    <w:tbl>
      <w:tblPr>
        <w:tblStyle w:val="5"/>
        <w:tblW w:w="0" w:type="auto"/>
        <w:jc w:val="center"/>
        <w:tblLayout w:type="fixed"/>
        <w:tblCellMar>
          <w:top w:w="0" w:type="dxa"/>
          <w:left w:w="0" w:type="dxa"/>
          <w:bottom w:w="0" w:type="dxa"/>
          <w:right w:w="0" w:type="dxa"/>
        </w:tblCellMar>
      </w:tblPr>
      <w:tblGrid>
        <w:gridCol w:w="356"/>
        <w:gridCol w:w="328"/>
        <w:gridCol w:w="328"/>
        <w:gridCol w:w="778"/>
        <w:gridCol w:w="2110"/>
        <w:gridCol w:w="2590"/>
        <w:gridCol w:w="3070"/>
        <w:gridCol w:w="2974"/>
        <w:gridCol w:w="18"/>
        <w:gridCol w:w="1433"/>
      </w:tblGrid>
      <w:tr>
        <w:tblPrEx>
          <w:tblCellMar>
            <w:top w:w="0" w:type="dxa"/>
            <w:left w:w="0" w:type="dxa"/>
            <w:bottom w:w="0" w:type="dxa"/>
            <w:right w:w="0" w:type="dxa"/>
          </w:tblCellMar>
        </w:tblPrEx>
        <w:trPr>
          <w:trHeight w:val="520" w:hRule="atLeast"/>
          <w:jc w:val="center"/>
        </w:trPr>
        <w:tc>
          <w:tcPr>
            <w:tcW w:w="9560" w:type="dxa"/>
            <w:gridSpan w:val="7"/>
            <w:tcBorders>
              <w:top w:val="single" w:color="auto" w:sz="4" w:space="0"/>
              <w:left w:val="single" w:color="auto" w:sz="4" w:space="0"/>
              <w:bottom w:val="nil"/>
              <w:right w:val="single" w:color="auto"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填报单位名称：广东省卫生健康委员会</w:t>
            </w:r>
          </w:p>
        </w:tc>
        <w:tc>
          <w:tcPr>
            <w:tcW w:w="4425" w:type="dxa"/>
            <w:gridSpan w:val="3"/>
            <w:tcBorders>
              <w:top w:val="single" w:color="auto" w:sz="4" w:space="0"/>
              <w:left w:val="single" w:color="auto" w:sz="4" w:space="0"/>
              <w:bottom w:val="nil"/>
              <w:right w:val="single" w:color="auto"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金额单位：万元</w:t>
            </w:r>
          </w:p>
        </w:tc>
      </w:tr>
      <w:tr>
        <w:tblPrEx>
          <w:tblCellMar>
            <w:top w:w="0" w:type="dxa"/>
            <w:left w:w="0" w:type="dxa"/>
            <w:bottom w:w="0" w:type="dxa"/>
            <w:right w:w="0" w:type="dxa"/>
          </w:tblCellMar>
        </w:tblPrEx>
        <w:trPr>
          <w:trHeight w:val="580" w:hRule="atLeast"/>
          <w:jc w:val="center"/>
        </w:trPr>
        <w:tc>
          <w:tcPr>
            <w:tcW w:w="3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基本</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情况</w:t>
            </w:r>
          </w:p>
        </w:tc>
        <w:tc>
          <w:tcPr>
            <w:tcW w:w="143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项目名称</w:t>
            </w:r>
          </w:p>
        </w:tc>
        <w:tc>
          <w:tcPr>
            <w:tcW w:w="2110" w:type="dxa"/>
            <w:tcBorders>
              <w:top w:val="single" w:color="auto" w:sz="4" w:space="0"/>
              <w:left w:val="nil"/>
              <w:bottom w:val="nil"/>
              <w:right w:val="nil"/>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color w:val="000000"/>
                <w:kern w:val="0"/>
                <w:sz w:val="24"/>
                <w:szCs w:val="24"/>
                <w:lang w:bidi="ar"/>
              </w:rPr>
              <w:t>加强</w:t>
            </w:r>
            <w:r>
              <w:rPr>
                <w:rFonts w:hint="default" w:ascii="Times New Roman" w:hAnsi="Times New Roman" w:eastAsia="仿宋_GB2312" w:cs="Times New Roman"/>
                <w:color w:val="000000"/>
                <w:kern w:val="0"/>
                <w:sz w:val="24"/>
                <w:szCs w:val="24"/>
                <w:lang w:eastAsia="zh-CN" w:bidi="ar"/>
              </w:rPr>
              <w:t>粤东粤西粤北</w:t>
            </w:r>
            <w:r>
              <w:rPr>
                <w:rFonts w:hint="default" w:ascii="Times New Roman" w:hAnsi="Times New Roman" w:eastAsia="仿宋_GB2312" w:cs="Times New Roman"/>
                <w:color w:val="000000"/>
                <w:kern w:val="0"/>
                <w:sz w:val="24"/>
                <w:szCs w:val="24"/>
                <w:lang w:bidi="ar"/>
              </w:rPr>
              <w:t>基层医疗人才队伍和服务能力建设</w:t>
            </w: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评价年度</w:t>
            </w: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2019</w:t>
            </w:r>
          </w:p>
        </w:tc>
        <w:tc>
          <w:tcPr>
            <w:tcW w:w="2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评价金额</w:t>
            </w:r>
          </w:p>
        </w:tc>
        <w:tc>
          <w:tcPr>
            <w:tcW w:w="1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43248.65</w:t>
            </w:r>
          </w:p>
        </w:tc>
      </w:tr>
      <w:tr>
        <w:tblPrEx>
          <w:tblCellMar>
            <w:top w:w="0" w:type="dxa"/>
            <w:left w:w="0" w:type="dxa"/>
            <w:bottom w:w="0" w:type="dxa"/>
            <w:right w:w="0" w:type="dxa"/>
          </w:tblCellMar>
        </w:tblPrEx>
        <w:trPr>
          <w:trHeight w:val="66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143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联系人</w:t>
            </w:r>
          </w:p>
        </w:tc>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b/>
                <w:bCs/>
                <w:color w:val="000000"/>
                <w:kern w:val="0"/>
                <w:sz w:val="24"/>
                <w:szCs w:val="24"/>
              </w:rPr>
              <w:t>蔡祖劲</w:t>
            </w: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联系电话</w:t>
            </w: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020-83880532</w:t>
            </w:r>
          </w:p>
        </w:tc>
        <w:tc>
          <w:tcPr>
            <w:tcW w:w="2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联系邮箱</w:t>
            </w:r>
          </w:p>
        </w:tc>
        <w:tc>
          <w:tcPr>
            <w:tcW w:w="1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72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143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实施文件依据</w:t>
            </w:r>
          </w:p>
        </w:tc>
        <w:tc>
          <w:tcPr>
            <w:tcW w:w="1219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粤财社〔2019〕42号</w:t>
            </w:r>
          </w:p>
        </w:tc>
      </w:tr>
      <w:tr>
        <w:tblPrEx>
          <w:tblCellMar>
            <w:top w:w="0" w:type="dxa"/>
            <w:left w:w="0" w:type="dxa"/>
            <w:bottom w:w="0" w:type="dxa"/>
            <w:right w:w="0" w:type="dxa"/>
          </w:tblCellMar>
        </w:tblPrEx>
        <w:trPr>
          <w:trHeight w:val="540" w:hRule="atLeast"/>
          <w:jc w:val="center"/>
        </w:trPr>
        <w:tc>
          <w:tcPr>
            <w:tcW w:w="3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资金</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情况</w:t>
            </w:r>
          </w:p>
        </w:tc>
        <w:tc>
          <w:tcPr>
            <w:tcW w:w="65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资金安排情况</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预算计划安排</w:t>
            </w:r>
          </w:p>
        </w:tc>
        <w:tc>
          <w:tcPr>
            <w:tcW w:w="1219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43248.65</w:t>
            </w:r>
          </w:p>
        </w:tc>
      </w:tr>
      <w:tr>
        <w:tblPrEx>
          <w:tblCellMar>
            <w:top w:w="0" w:type="dxa"/>
            <w:left w:w="0" w:type="dxa"/>
            <w:bottom w:w="0" w:type="dxa"/>
            <w:right w:w="0" w:type="dxa"/>
          </w:tblCellMar>
        </w:tblPrEx>
        <w:trPr>
          <w:trHeight w:val="54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实际分配下达</w:t>
            </w:r>
          </w:p>
        </w:tc>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省本级</w:t>
            </w: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kern w:val="0"/>
                <w:sz w:val="24"/>
                <w:szCs w:val="24"/>
                <w:lang w:val="en-US" w:eastAsia="zh-CN" w:bidi="ar"/>
              </w:rPr>
              <w:t>8,498.72</w:t>
            </w:r>
          </w:p>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转移支付至市县</w:t>
            </w:r>
          </w:p>
        </w:tc>
        <w:tc>
          <w:tcPr>
            <w:tcW w:w="44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34749.93</w:t>
            </w:r>
          </w:p>
        </w:tc>
      </w:tr>
      <w:tr>
        <w:tblPrEx>
          <w:tblCellMar>
            <w:top w:w="0" w:type="dxa"/>
            <w:left w:w="0" w:type="dxa"/>
            <w:bottom w:w="0" w:type="dxa"/>
            <w:right w:w="0" w:type="dxa"/>
          </w:tblCellMar>
        </w:tblPrEx>
        <w:trPr>
          <w:trHeight w:val="345"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分年度明细</w:t>
            </w:r>
          </w:p>
        </w:tc>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年度</w:t>
            </w: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预算计划安排</w:t>
            </w: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实际安排额度</w:t>
            </w:r>
          </w:p>
        </w:tc>
        <w:tc>
          <w:tcPr>
            <w:tcW w:w="44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资金下达文件及文号</w:t>
            </w:r>
          </w:p>
        </w:tc>
      </w:tr>
      <w:tr>
        <w:tblPrEx>
          <w:tblCellMar>
            <w:top w:w="0" w:type="dxa"/>
            <w:left w:w="0" w:type="dxa"/>
            <w:bottom w:w="0" w:type="dxa"/>
            <w:right w:w="0" w:type="dxa"/>
          </w:tblCellMar>
        </w:tblPrEx>
        <w:trPr>
          <w:trHeight w:val="108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2019</w:t>
            </w: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43248.65</w:t>
            </w: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43248.65</w:t>
            </w:r>
          </w:p>
        </w:tc>
        <w:tc>
          <w:tcPr>
            <w:tcW w:w="29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关于安排2019年省级医疗卫生健康事业发展专项资金（第一批）的通知</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粤财社〔2019〕42号</w:t>
            </w:r>
          </w:p>
        </w:tc>
      </w:tr>
      <w:tr>
        <w:tblPrEx>
          <w:tblCellMar>
            <w:top w:w="0" w:type="dxa"/>
            <w:left w:w="0" w:type="dxa"/>
            <w:bottom w:w="0" w:type="dxa"/>
            <w:right w:w="0" w:type="dxa"/>
          </w:tblCellMar>
        </w:tblPrEx>
        <w:trPr>
          <w:trHeight w:val="58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资金分配方法</w:t>
            </w:r>
            <w:r>
              <w:rPr>
                <w:rFonts w:hint="default" w:ascii="Times New Roman" w:hAnsi="Times New Roman" w:eastAsia="仿宋_GB2312" w:cs="Times New Roman"/>
                <w:b/>
                <w:i w:val="0"/>
                <w:color w:val="000000"/>
                <w:kern w:val="0"/>
                <w:sz w:val="24"/>
                <w:szCs w:val="24"/>
                <w:u w:val="none"/>
                <w:lang w:val="en-US" w:eastAsia="zh-CN" w:bidi="ar"/>
              </w:rPr>
              <w:br w:type="textWrapping"/>
            </w:r>
            <w:r>
              <w:rPr>
                <w:rFonts w:hint="default" w:ascii="Times New Roman" w:hAnsi="Times New Roman" w:eastAsia="仿宋_GB2312" w:cs="Times New Roman"/>
                <w:b/>
                <w:i w:val="0"/>
                <w:color w:val="000000"/>
                <w:kern w:val="0"/>
                <w:sz w:val="24"/>
                <w:szCs w:val="24"/>
                <w:u w:val="none"/>
                <w:lang w:val="en-US" w:eastAsia="zh-CN" w:bidi="ar"/>
              </w:rPr>
              <w:t>或原则</w:t>
            </w:r>
          </w:p>
        </w:tc>
        <w:tc>
          <w:tcPr>
            <w:tcW w:w="1219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因素法</w:t>
            </w:r>
            <w:r>
              <w:rPr>
                <w:rStyle w:val="9"/>
                <w:rFonts w:hint="default" w:ascii="Times New Roman" w:hAnsi="Times New Roman" w:eastAsia="仿宋_GB2312" w:cs="Times New Roman"/>
                <w:color w:val="000000"/>
                <w:sz w:val="24"/>
                <w:szCs w:val="24"/>
                <w:lang w:val="en-US" w:eastAsia="zh-CN" w:bidi="ar"/>
              </w:rPr>
              <w:t>√</w:t>
            </w:r>
            <w:r>
              <w:rPr>
                <w:rStyle w:val="10"/>
                <w:rFonts w:hint="default" w:ascii="Times New Roman" w:hAnsi="Times New Roman" w:eastAsia="仿宋_GB2312" w:cs="Times New Roman"/>
                <w:color w:val="000000"/>
                <w:sz w:val="24"/>
                <w:szCs w:val="24"/>
                <w:lang w:val="en-US" w:eastAsia="zh-CN" w:bidi="ar"/>
              </w:rPr>
              <w:t xml:space="preserve"> □  项目制 □  其他 □</w:t>
            </w:r>
          </w:p>
        </w:tc>
      </w:tr>
      <w:tr>
        <w:tblPrEx>
          <w:tblCellMar>
            <w:top w:w="0" w:type="dxa"/>
            <w:left w:w="0" w:type="dxa"/>
            <w:bottom w:w="0" w:type="dxa"/>
            <w:right w:w="0" w:type="dxa"/>
          </w:tblCellMar>
        </w:tblPrEx>
        <w:trPr>
          <w:trHeight w:val="114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1219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3"/>
              </w:numPr>
              <w:suppressLineNumbers w:val="0"/>
              <w:spacing w:beforeLines="0" w:afterLines="0" w:line="32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color w:val="000000"/>
                <w:kern w:val="0"/>
                <w:sz w:val="24"/>
                <w:szCs w:val="24"/>
                <w:lang w:bidi="ar"/>
              </w:rPr>
              <w:t>全科医生培训</w:t>
            </w:r>
            <w:r>
              <w:rPr>
                <w:rFonts w:hint="default" w:ascii="Times New Roman" w:hAnsi="Times New Roman" w:eastAsia="仿宋_GB2312" w:cs="Times New Roman"/>
                <w:color w:val="000000"/>
                <w:kern w:val="0"/>
                <w:sz w:val="24"/>
                <w:szCs w:val="24"/>
                <w:lang w:eastAsia="zh-CN" w:bidi="ar"/>
              </w:rPr>
              <w:t>。</w:t>
            </w:r>
            <w:r>
              <w:rPr>
                <w:rFonts w:hint="default" w:ascii="Times New Roman" w:hAnsi="Times New Roman" w:eastAsia="仿宋_GB2312" w:cs="Times New Roman"/>
                <w:i w:val="0"/>
                <w:color w:val="000000"/>
                <w:kern w:val="0"/>
                <w:sz w:val="24"/>
                <w:szCs w:val="24"/>
                <w:u w:val="none"/>
                <w:lang w:val="en-US" w:eastAsia="zh-CN" w:bidi="ar"/>
              </w:rPr>
              <w:t>住院医师规范化培训全科医生3万/人/年，助理全科医生2万/人/年，转岗培训2万/人，岗位培训1万/人，全科（含助理）医生师资培训450元/人/天。</w:t>
            </w:r>
          </w:p>
          <w:p>
            <w:pPr>
              <w:keepNext w:val="0"/>
              <w:keepLines w:val="0"/>
              <w:widowControl/>
              <w:numPr>
                <w:ilvl w:val="0"/>
                <w:numId w:val="3"/>
              </w:numPr>
              <w:suppressLineNumbers w:val="0"/>
              <w:spacing w:beforeLines="0" w:afterLines="0" w:line="32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color w:val="000000"/>
                <w:kern w:val="0"/>
                <w:sz w:val="24"/>
                <w:szCs w:val="24"/>
                <w:lang w:bidi="ar"/>
              </w:rPr>
              <w:t>住院医师规范化培训社会人住院医师规范化培训每人每年1.5万元；住培带教师资培训补助金额按照每名师资培训7天(56学时)，每天450元/人.天标准补助，由有关医学院校附属第一医院及省人民医院等单位承担，深圳市计划由深圳市卫计委安排。</w:t>
            </w:r>
          </w:p>
          <w:p>
            <w:pPr>
              <w:keepNext w:val="0"/>
              <w:keepLines w:val="0"/>
              <w:widowControl/>
              <w:numPr>
                <w:ilvl w:val="0"/>
                <w:numId w:val="3"/>
              </w:numPr>
              <w:suppressLineNumbers w:val="0"/>
              <w:spacing w:beforeLines="0" w:afterLines="0" w:line="32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color w:val="000000"/>
                <w:kern w:val="0"/>
                <w:sz w:val="24"/>
                <w:szCs w:val="24"/>
                <w:lang w:bidi="ar"/>
              </w:rPr>
              <w:t>订单定向培养医学大学生</w:t>
            </w:r>
            <w:r>
              <w:rPr>
                <w:rFonts w:hint="default" w:ascii="Times New Roman" w:hAnsi="Times New Roman" w:eastAsia="仿宋_GB2312" w:cs="Times New Roman"/>
                <w:color w:val="000000"/>
                <w:kern w:val="0"/>
                <w:sz w:val="24"/>
                <w:szCs w:val="24"/>
                <w:lang w:eastAsia="zh-CN" w:bidi="ar"/>
              </w:rPr>
              <w:t>。</w:t>
            </w:r>
            <w:r>
              <w:rPr>
                <w:rFonts w:hint="default" w:ascii="Times New Roman" w:hAnsi="Times New Roman" w:eastAsia="仿宋_GB2312" w:cs="Times New Roman"/>
                <w:color w:val="000000"/>
                <w:kern w:val="0"/>
                <w:sz w:val="24"/>
                <w:szCs w:val="24"/>
                <w:lang w:bidi="ar"/>
              </w:rPr>
              <w:t>2019年起参照广东省物价部门核定的学费标准进行精准补助、生活费6300元（按630元/月，每年10个月计算）。</w:t>
            </w:r>
          </w:p>
          <w:p>
            <w:pPr>
              <w:keepNext w:val="0"/>
              <w:keepLines w:val="0"/>
              <w:widowControl/>
              <w:numPr>
                <w:ilvl w:val="0"/>
                <w:numId w:val="3"/>
              </w:numPr>
              <w:suppressLineNumbers w:val="0"/>
              <w:spacing w:beforeLines="0" w:afterLines="0" w:line="32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color w:val="000000"/>
                <w:kern w:val="0"/>
                <w:sz w:val="24"/>
                <w:szCs w:val="24"/>
                <w:lang w:bidi="ar"/>
              </w:rPr>
              <w:t>产儿科转岗培训</w:t>
            </w:r>
            <w:r>
              <w:rPr>
                <w:rFonts w:hint="default" w:ascii="Times New Roman" w:hAnsi="Times New Roman" w:eastAsia="仿宋_GB2312" w:cs="Times New Roman"/>
                <w:color w:val="000000"/>
                <w:kern w:val="0"/>
                <w:sz w:val="24"/>
                <w:szCs w:val="24"/>
                <w:lang w:eastAsia="zh-CN" w:bidi="ar"/>
              </w:rPr>
              <w:t>。</w:t>
            </w:r>
            <w:r>
              <w:rPr>
                <w:rFonts w:hint="default" w:ascii="Times New Roman" w:hAnsi="Times New Roman" w:eastAsia="仿宋_GB2312" w:cs="Times New Roman"/>
                <w:color w:val="000000"/>
                <w:kern w:val="0"/>
                <w:sz w:val="24"/>
                <w:szCs w:val="24"/>
                <w:lang w:bidi="ar"/>
              </w:rPr>
              <w:t>补助标准为1万元/人。儿科转岗培训补助经费标准为2万元/人/年，按每个县市区培训4人进行分配。</w:t>
            </w:r>
          </w:p>
          <w:p>
            <w:pPr>
              <w:keepNext w:val="0"/>
              <w:keepLines w:val="0"/>
              <w:widowControl/>
              <w:numPr>
                <w:ilvl w:val="0"/>
                <w:numId w:val="3"/>
              </w:numPr>
              <w:suppressLineNumbers w:val="0"/>
              <w:spacing w:beforeLines="0" w:afterLines="0" w:line="320" w:lineRule="exact"/>
              <w:ind w:left="0" w:leftChars="0" w:firstLine="0" w:firstLineChars="0"/>
              <w:jc w:val="left"/>
              <w:textAlignment w:val="center"/>
              <w:rPr>
                <w:rFonts w:hint="default" w:ascii="Times New Roman" w:hAnsi="Times New Roman" w:eastAsia="仿宋_GB2312" w:cs="Times New Roman"/>
                <w:color w:val="000000"/>
                <w:kern w:val="0"/>
                <w:sz w:val="24"/>
                <w:szCs w:val="24"/>
                <w:lang w:eastAsia="zh-CN" w:bidi="ar"/>
              </w:rPr>
            </w:pPr>
            <w:r>
              <w:rPr>
                <w:rFonts w:hint="default" w:ascii="Times New Roman" w:hAnsi="Times New Roman" w:eastAsia="仿宋_GB2312" w:cs="Times New Roman"/>
                <w:color w:val="000000"/>
                <w:kern w:val="0"/>
                <w:sz w:val="24"/>
                <w:szCs w:val="24"/>
                <w:lang w:bidi="ar"/>
              </w:rPr>
              <w:t>家庭医生团队骨干师资培训</w:t>
            </w:r>
            <w:r>
              <w:rPr>
                <w:rFonts w:hint="default" w:ascii="Times New Roman" w:hAnsi="Times New Roman" w:eastAsia="仿宋_GB2312" w:cs="Times New Roman"/>
                <w:color w:val="000000"/>
                <w:kern w:val="0"/>
                <w:sz w:val="24"/>
                <w:szCs w:val="24"/>
                <w:lang w:eastAsia="zh-CN" w:bidi="ar"/>
              </w:rPr>
              <w:t>。</w:t>
            </w:r>
            <w:r>
              <w:rPr>
                <w:rFonts w:hint="default" w:ascii="Times New Roman" w:hAnsi="Times New Roman" w:eastAsia="仿宋_GB2312" w:cs="Times New Roman"/>
                <w:color w:val="000000"/>
                <w:kern w:val="0"/>
                <w:sz w:val="24"/>
                <w:szCs w:val="24"/>
                <w:lang w:bidi="ar"/>
              </w:rPr>
              <w:t>每年培训30人，培训时间合计32天。培训对象每人每天补贴360元，每个培训基地每年所需要费用为34万元（30人*32天*360元/人/天）</w:t>
            </w:r>
            <w:r>
              <w:rPr>
                <w:rFonts w:hint="default" w:ascii="Times New Roman" w:hAnsi="Times New Roman" w:eastAsia="仿宋_GB2312" w:cs="Times New Roman"/>
                <w:color w:val="000000"/>
                <w:kern w:val="0"/>
                <w:sz w:val="24"/>
                <w:szCs w:val="24"/>
                <w:lang w:eastAsia="zh-CN" w:bidi="ar"/>
              </w:rPr>
              <w:t>。</w:t>
            </w:r>
          </w:p>
          <w:p>
            <w:pPr>
              <w:keepNext w:val="0"/>
              <w:keepLines w:val="0"/>
              <w:widowControl/>
              <w:numPr>
                <w:ilvl w:val="0"/>
                <w:numId w:val="3"/>
              </w:numPr>
              <w:suppressLineNumbers w:val="0"/>
              <w:spacing w:beforeLines="0" w:afterLines="0" w:line="320" w:lineRule="exact"/>
              <w:ind w:left="0" w:leftChars="0" w:firstLine="0" w:firstLineChars="0"/>
              <w:jc w:val="left"/>
              <w:textAlignment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百名首席专家下基层计划</w:t>
            </w:r>
            <w:r>
              <w:rPr>
                <w:rFonts w:hint="default" w:ascii="Times New Roman" w:hAnsi="Times New Roman" w:eastAsia="仿宋_GB2312" w:cs="Times New Roman"/>
                <w:color w:val="000000"/>
                <w:kern w:val="0"/>
                <w:sz w:val="24"/>
                <w:szCs w:val="24"/>
                <w:lang w:eastAsia="zh-CN" w:bidi="ar"/>
              </w:rPr>
              <w:t>。</w:t>
            </w:r>
            <w:r>
              <w:rPr>
                <w:rFonts w:hint="default" w:ascii="Times New Roman" w:hAnsi="Times New Roman" w:eastAsia="仿宋_GB2312" w:cs="Times New Roman"/>
                <w:color w:val="000000"/>
                <w:kern w:val="0"/>
                <w:sz w:val="24"/>
                <w:szCs w:val="24"/>
                <w:lang w:bidi="ar"/>
              </w:rPr>
              <w:t>按每家招聘3名首席专家安排补助资金。补助标准20万/人/年。</w:t>
            </w:r>
          </w:p>
          <w:p>
            <w:pPr>
              <w:keepNext w:val="0"/>
              <w:keepLines w:val="0"/>
              <w:widowControl/>
              <w:numPr>
                <w:ilvl w:val="0"/>
                <w:numId w:val="3"/>
              </w:numPr>
              <w:suppressLineNumbers w:val="0"/>
              <w:spacing w:beforeLines="0" w:afterLines="0" w:line="320" w:lineRule="exact"/>
              <w:ind w:left="0" w:leftChars="0" w:firstLine="0" w:firstLineChars="0"/>
              <w:jc w:val="left"/>
              <w:textAlignment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千名高校毕业生下基层</w:t>
            </w:r>
            <w:r>
              <w:rPr>
                <w:rFonts w:hint="default" w:ascii="Times New Roman" w:hAnsi="Times New Roman" w:eastAsia="仿宋_GB2312" w:cs="Times New Roman"/>
                <w:color w:val="000000"/>
                <w:kern w:val="0"/>
                <w:sz w:val="24"/>
                <w:szCs w:val="24"/>
                <w:lang w:eastAsia="zh-CN" w:bidi="ar"/>
              </w:rPr>
              <w:t>。</w:t>
            </w:r>
            <w:r>
              <w:rPr>
                <w:rFonts w:hint="default" w:ascii="Times New Roman" w:hAnsi="Times New Roman" w:eastAsia="仿宋_GB2312" w:cs="Times New Roman"/>
                <w:color w:val="000000"/>
                <w:kern w:val="0"/>
                <w:sz w:val="24"/>
                <w:szCs w:val="24"/>
                <w:lang w:bidi="ar"/>
              </w:rPr>
              <w:t>每人每年1万元 的补助标准预拨2019年补助经费，待下一年度根据实际招聘人数据实结算。</w:t>
            </w:r>
          </w:p>
          <w:p>
            <w:pPr>
              <w:keepNext w:val="0"/>
              <w:keepLines w:val="0"/>
              <w:widowControl/>
              <w:numPr>
                <w:ilvl w:val="0"/>
                <w:numId w:val="3"/>
              </w:numPr>
              <w:suppressLineNumbers w:val="0"/>
              <w:spacing w:beforeLines="0" w:afterLines="0" w:line="320" w:lineRule="exact"/>
              <w:ind w:left="0" w:leftChars="0" w:firstLine="0" w:firstLineChars="0"/>
              <w:jc w:val="left"/>
              <w:textAlignment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县级公立医院专科特设岗位</w:t>
            </w:r>
            <w:r>
              <w:rPr>
                <w:rFonts w:hint="default" w:ascii="Times New Roman" w:hAnsi="Times New Roman" w:eastAsia="仿宋_GB2312" w:cs="Times New Roman"/>
                <w:color w:val="000000"/>
                <w:kern w:val="0"/>
                <w:sz w:val="24"/>
                <w:szCs w:val="24"/>
                <w:lang w:eastAsia="zh-CN" w:bidi="ar"/>
              </w:rPr>
              <w:t>。</w:t>
            </w:r>
            <w:r>
              <w:rPr>
                <w:rFonts w:hint="default" w:ascii="Times New Roman" w:hAnsi="Times New Roman" w:eastAsia="仿宋_GB2312" w:cs="Times New Roman"/>
                <w:bCs/>
                <w:color w:val="000000"/>
                <w:kern w:val="0"/>
                <w:sz w:val="24"/>
                <w:szCs w:val="24"/>
                <w:lang w:bidi="ar"/>
              </w:rPr>
              <w:t>依据</w:t>
            </w:r>
            <w:r>
              <w:rPr>
                <w:rFonts w:hint="default" w:ascii="Times New Roman" w:hAnsi="Times New Roman" w:eastAsia="仿宋_GB2312" w:cs="Times New Roman"/>
                <w:color w:val="000000"/>
                <w:kern w:val="0"/>
                <w:sz w:val="24"/>
                <w:szCs w:val="24"/>
                <w:lang w:bidi="ar"/>
              </w:rPr>
              <w:t>人口系数权重为30%，综合评分系数权重为70%的原则确定招聘岗位。中央苏区县和少数民族县</w:t>
            </w:r>
            <w:r>
              <w:rPr>
                <w:rFonts w:hint="default" w:ascii="Times New Roman" w:hAnsi="Times New Roman" w:eastAsia="仿宋_GB2312" w:cs="Times New Roman"/>
                <w:color w:val="000000"/>
                <w:sz w:val="24"/>
                <w:szCs w:val="24"/>
              </w:rPr>
              <w:t>按照15万元/年安排补助资金，</w:t>
            </w:r>
            <w:r>
              <w:rPr>
                <w:rFonts w:hint="default" w:ascii="Times New Roman" w:hAnsi="Times New Roman" w:eastAsia="仿宋_GB2312" w:cs="Times New Roman"/>
                <w:color w:val="000000"/>
                <w:kern w:val="0"/>
                <w:sz w:val="24"/>
                <w:szCs w:val="24"/>
                <w:lang w:bidi="ar"/>
              </w:rPr>
              <w:t>其他地区</w:t>
            </w:r>
            <w:r>
              <w:rPr>
                <w:rFonts w:hint="default" w:ascii="Times New Roman" w:hAnsi="Times New Roman" w:eastAsia="仿宋_GB2312" w:cs="Times New Roman"/>
                <w:color w:val="000000"/>
                <w:sz w:val="24"/>
                <w:szCs w:val="24"/>
              </w:rPr>
              <w:t>按照10万元/年安排补助资金。</w:t>
            </w:r>
          </w:p>
          <w:p>
            <w:pPr>
              <w:keepNext w:val="0"/>
              <w:keepLines w:val="0"/>
              <w:widowControl/>
              <w:numPr>
                <w:ilvl w:val="0"/>
                <w:numId w:val="3"/>
              </w:numPr>
              <w:suppressLineNumbers w:val="0"/>
              <w:spacing w:beforeLines="0" w:afterLines="0" w:line="320" w:lineRule="exact"/>
              <w:ind w:left="0" w:leftChars="0" w:firstLine="0" w:firstLineChars="0"/>
              <w:jc w:val="left"/>
              <w:textAlignment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b w:val="0"/>
                <w:bCs/>
                <w:color w:val="000000"/>
                <w:kern w:val="0"/>
                <w:sz w:val="24"/>
                <w:szCs w:val="24"/>
                <w:lang w:bidi="ar"/>
              </w:rPr>
              <w:t>精准扶贫村健康监测项目</w:t>
            </w:r>
            <w:r>
              <w:rPr>
                <w:rFonts w:hint="default" w:ascii="Times New Roman" w:hAnsi="Times New Roman" w:eastAsia="仿宋_GB2312" w:cs="Times New Roman"/>
                <w:b w:val="0"/>
                <w:bCs/>
                <w:color w:val="000000"/>
                <w:kern w:val="0"/>
                <w:sz w:val="24"/>
                <w:szCs w:val="24"/>
                <w:lang w:eastAsia="zh-CN" w:bidi="ar"/>
              </w:rPr>
              <w:t>。省定</w:t>
            </w:r>
            <w:r>
              <w:rPr>
                <w:rFonts w:hint="default" w:ascii="Times New Roman" w:hAnsi="Times New Roman" w:eastAsia="仿宋_GB2312" w:cs="Times New Roman"/>
                <w:color w:val="000000"/>
                <w:kern w:val="0"/>
                <w:sz w:val="24"/>
                <w:szCs w:val="24"/>
                <w:lang w:bidi="ar"/>
              </w:rPr>
              <w:t>贫困村</w:t>
            </w:r>
            <w:r>
              <w:rPr>
                <w:rFonts w:hint="default" w:ascii="Times New Roman" w:hAnsi="Times New Roman" w:eastAsia="仿宋_GB2312" w:cs="Times New Roman"/>
                <w:color w:val="000000"/>
                <w:kern w:val="0"/>
                <w:sz w:val="24"/>
                <w:szCs w:val="24"/>
                <w:lang w:eastAsia="zh-CN" w:bidi="ar"/>
              </w:rPr>
              <w:t>按每村</w:t>
            </w:r>
            <w:r>
              <w:rPr>
                <w:rFonts w:hint="default" w:ascii="Times New Roman" w:hAnsi="Times New Roman" w:eastAsia="仿宋_GB2312" w:cs="Times New Roman"/>
                <w:color w:val="000000"/>
                <w:kern w:val="0"/>
                <w:sz w:val="24"/>
                <w:szCs w:val="24"/>
                <w:lang w:bidi="ar"/>
              </w:rPr>
              <w:t>1.2万元补助。</w:t>
            </w:r>
          </w:p>
        </w:tc>
      </w:tr>
      <w:tr>
        <w:tblPrEx>
          <w:tblCellMar>
            <w:top w:w="0" w:type="dxa"/>
            <w:left w:w="0" w:type="dxa"/>
            <w:bottom w:w="0" w:type="dxa"/>
            <w:right w:w="0" w:type="dxa"/>
          </w:tblCellMar>
        </w:tblPrEx>
        <w:trPr>
          <w:trHeight w:val="76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1219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选择“因素法”的，列明分配的因素和各因素占的权重；选择“项目制”的，应说明项目申报的主要条件和评审项目考虑的因素；选择其他的请具体说明分配的方式和原则。</w:t>
            </w:r>
          </w:p>
        </w:tc>
      </w:tr>
      <w:tr>
        <w:tblPrEx>
          <w:tblCellMar>
            <w:top w:w="0" w:type="dxa"/>
            <w:left w:w="0" w:type="dxa"/>
            <w:bottom w:w="0" w:type="dxa"/>
            <w:right w:w="0" w:type="dxa"/>
          </w:tblCellMar>
        </w:tblPrEx>
        <w:trPr>
          <w:trHeight w:val="54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资金使用情况</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实际支出金额</w:t>
            </w:r>
          </w:p>
        </w:tc>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省本级</w:t>
            </w: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b w:val="0"/>
                <w:bCs/>
                <w:color w:val="000000"/>
                <w:kern w:val="0"/>
                <w:sz w:val="24"/>
                <w:szCs w:val="24"/>
                <w:lang w:val="en-US" w:eastAsia="zh-CN" w:bidi="ar"/>
              </w:rPr>
              <w:t>8,498.72</w:t>
            </w: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转移支付至市县</w:t>
            </w:r>
          </w:p>
        </w:tc>
        <w:tc>
          <w:tcPr>
            <w:tcW w:w="44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34749.93</w:t>
            </w:r>
          </w:p>
        </w:tc>
      </w:tr>
      <w:tr>
        <w:tblPrEx>
          <w:tblCellMar>
            <w:top w:w="0" w:type="dxa"/>
            <w:left w:w="0" w:type="dxa"/>
            <w:bottom w:w="0" w:type="dxa"/>
            <w:right w:w="0" w:type="dxa"/>
          </w:tblCellMar>
        </w:tblPrEx>
        <w:trPr>
          <w:trHeight w:val="81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实际明细支出</w:t>
            </w:r>
          </w:p>
        </w:tc>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年度</w:t>
            </w: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省本级支出</w:t>
            </w: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省本级支出（其中：部门预算支出）</w:t>
            </w:r>
          </w:p>
        </w:tc>
        <w:tc>
          <w:tcPr>
            <w:tcW w:w="29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转移支付市县支出</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9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2019</w:t>
            </w: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kern w:val="0"/>
                <w:sz w:val="24"/>
                <w:szCs w:val="24"/>
                <w:lang w:val="en-US" w:eastAsia="zh-CN" w:bidi="ar"/>
              </w:rPr>
              <w:t>8,498.72</w:t>
            </w:r>
          </w:p>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29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34749.93</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r>
      <w:tr>
        <w:tblPrEx>
          <w:tblCellMar>
            <w:top w:w="0" w:type="dxa"/>
            <w:left w:w="0" w:type="dxa"/>
            <w:bottom w:w="0" w:type="dxa"/>
            <w:right w:w="0" w:type="dxa"/>
          </w:tblCellMar>
        </w:tblPrEx>
        <w:trPr>
          <w:trHeight w:val="345"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29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375"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按方向划分</w:t>
            </w:r>
          </w:p>
        </w:tc>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资金使用方向</w:t>
            </w: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安排年度</w:t>
            </w: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实际下达额度</w:t>
            </w:r>
          </w:p>
        </w:tc>
        <w:tc>
          <w:tcPr>
            <w:tcW w:w="29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实际支出金额</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222"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1.住院医师规范化培训</w:t>
            </w:r>
          </w:p>
        </w:tc>
        <w:tc>
          <w:tcPr>
            <w:tcW w:w="25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2019</w:t>
            </w:r>
          </w:p>
        </w:tc>
        <w:tc>
          <w:tcPr>
            <w:tcW w:w="30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15024.00</w:t>
            </w:r>
          </w:p>
        </w:tc>
        <w:tc>
          <w:tcPr>
            <w:tcW w:w="299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15024.00</w:t>
            </w:r>
          </w:p>
        </w:tc>
        <w:tc>
          <w:tcPr>
            <w:tcW w:w="14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115"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2.全科医生培训</w:t>
            </w:r>
          </w:p>
        </w:tc>
        <w:tc>
          <w:tcPr>
            <w:tcW w:w="25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2019</w:t>
            </w:r>
          </w:p>
        </w:tc>
        <w:tc>
          <w:tcPr>
            <w:tcW w:w="30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12050.01</w:t>
            </w:r>
          </w:p>
        </w:tc>
        <w:tc>
          <w:tcPr>
            <w:tcW w:w="2992"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12050.01</w:t>
            </w:r>
          </w:p>
        </w:tc>
        <w:tc>
          <w:tcPr>
            <w:tcW w:w="143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185"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3.订单定向培养医学大学生</w:t>
            </w:r>
          </w:p>
        </w:tc>
        <w:tc>
          <w:tcPr>
            <w:tcW w:w="25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2019</w:t>
            </w:r>
          </w:p>
        </w:tc>
        <w:tc>
          <w:tcPr>
            <w:tcW w:w="30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5199.24</w:t>
            </w:r>
          </w:p>
        </w:tc>
        <w:tc>
          <w:tcPr>
            <w:tcW w:w="2992"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5199.24</w:t>
            </w:r>
          </w:p>
        </w:tc>
        <w:tc>
          <w:tcPr>
            <w:tcW w:w="143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198"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4.产儿科转岗培训</w:t>
            </w:r>
          </w:p>
        </w:tc>
        <w:tc>
          <w:tcPr>
            <w:tcW w:w="25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2019</w:t>
            </w:r>
          </w:p>
        </w:tc>
        <w:tc>
          <w:tcPr>
            <w:tcW w:w="30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1720.00</w:t>
            </w:r>
          </w:p>
        </w:tc>
        <w:tc>
          <w:tcPr>
            <w:tcW w:w="2992"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1720.00</w:t>
            </w:r>
          </w:p>
        </w:tc>
        <w:tc>
          <w:tcPr>
            <w:tcW w:w="143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139"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5.家庭医生团队骨干师资培训</w:t>
            </w:r>
          </w:p>
        </w:tc>
        <w:tc>
          <w:tcPr>
            <w:tcW w:w="25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2019</w:t>
            </w:r>
          </w:p>
        </w:tc>
        <w:tc>
          <w:tcPr>
            <w:tcW w:w="30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272.00</w:t>
            </w:r>
          </w:p>
        </w:tc>
        <w:tc>
          <w:tcPr>
            <w:tcW w:w="2992"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272.00</w:t>
            </w:r>
          </w:p>
        </w:tc>
        <w:tc>
          <w:tcPr>
            <w:tcW w:w="143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189"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6.百名首席专家下基层计划</w:t>
            </w:r>
          </w:p>
        </w:tc>
        <w:tc>
          <w:tcPr>
            <w:tcW w:w="25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2019</w:t>
            </w:r>
          </w:p>
        </w:tc>
        <w:tc>
          <w:tcPr>
            <w:tcW w:w="30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2000.00</w:t>
            </w:r>
          </w:p>
        </w:tc>
        <w:tc>
          <w:tcPr>
            <w:tcW w:w="2992"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2000.00</w:t>
            </w:r>
          </w:p>
        </w:tc>
        <w:tc>
          <w:tcPr>
            <w:tcW w:w="143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114"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7.千名高校毕业生下基层</w:t>
            </w:r>
          </w:p>
        </w:tc>
        <w:tc>
          <w:tcPr>
            <w:tcW w:w="25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2019</w:t>
            </w:r>
          </w:p>
        </w:tc>
        <w:tc>
          <w:tcPr>
            <w:tcW w:w="30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850.00</w:t>
            </w:r>
          </w:p>
        </w:tc>
        <w:tc>
          <w:tcPr>
            <w:tcW w:w="2992"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850.00</w:t>
            </w:r>
          </w:p>
        </w:tc>
        <w:tc>
          <w:tcPr>
            <w:tcW w:w="143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166"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8.县级公立医院专科特设岗位</w:t>
            </w:r>
          </w:p>
        </w:tc>
        <w:tc>
          <w:tcPr>
            <w:tcW w:w="25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2019</w:t>
            </w:r>
          </w:p>
        </w:tc>
        <w:tc>
          <w:tcPr>
            <w:tcW w:w="30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3400.00</w:t>
            </w:r>
          </w:p>
        </w:tc>
        <w:tc>
          <w:tcPr>
            <w:tcW w:w="2992"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bidi="ar"/>
              </w:rPr>
              <w:t>3400.00</w:t>
            </w:r>
          </w:p>
        </w:tc>
        <w:tc>
          <w:tcPr>
            <w:tcW w:w="14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345"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color w:val="000000"/>
                <w:kern w:val="0"/>
                <w:sz w:val="24"/>
                <w:szCs w:val="24"/>
                <w:lang w:bidi="ar"/>
              </w:rPr>
              <w:t>精准扶贫村健康监测项目</w:t>
            </w: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sz w:val="24"/>
                <w:szCs w:val="24"/>
                <w:u w:val="none"/>
                <w:lang w:val="en-US" w:eastAsia="zh-CN"/>
              </w:rPr>
              <w:t>2019</w:t>
            </w: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color w:val="000000"/>
                <w:kern w:val="0"/>
                <w:sz w:val="24"/>
                <w:szCs w:val="24"/>
                <w:lang w:bidi="ar"/>
              </w:rPr>
              <w:t>2,732.40</w:t>
            </w:r>
          </w:p>
        </w:tc>
        <w:tc>
          <w:tcPr>
            <w:tcW w:w="29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color w:val="000000"/>
                <w:kern w:val="0"/>
                <w:sz w:val="24"/>
                <w:szCs w:val="24"/>
                <w:lang w:bidi="ar"/>
              </w:rPr>
              <w:t>2,732.40</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860" w:hRule="atLeast"/>
          <w:jc w:val="center"/>
        </w:trPr>
        <w:tc>
          <w:tcPr>
            <w:tcW w:w="3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绩效</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目标</w:t>
            </w:r>
          </w:p>
        </w:tc>
        <w:tc>
          <w:tcPr>
            <w:tcW w:w="65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绩效目标情况</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预期总体目标</w:t>
            </w:r>
          </w:p>
        </w:tc>
        <w:tc>
          <w:tcPr>
            <w:tcW w:w="77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
              </w:numPr>
              <w:spacing w:beforeLines="0" w:afterLines="0" w:line="320" w:lineRule="exact"/>
              <w:jc w:val="left"/>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欠发达地区招收了1400名订单定向医学生，规范化培训（助理）全科医生1080名、转岗（岗位）培训全科医生（含二级以上医院专科医师转岗（岗位）培训医生）4501名，招收住院医师规范化培训对象（社会人学员）2980名，转岗培训1000名产科医生（含助产士）和360名儿科医生。培训240名家庭医生签约服务骨干师资。为47家升级卫生院完成100名首席专家的招聘，并到岗工作；为经济欠发达地区县级医疗卫生机构分别招聘300名专家特岗和850名高校医学毕业生。</w:t>
            </w:r>
          </w:p>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color w:val="000000"/>
                <w:kern w:val="0"/>
                <w:sz w:val="24"/>
                <w:szCs w:val="24"/>
                <w:lang w:val="en-US" w:eastAsia="zh-CN" w:bidi="ar"/>
              </w:rPr>
              <w:t>2、</w:t>
            </w:r>
            <w:r>
              <w:rPr>
                <w:rFonts w:hint="default" w:ascii="Times New Roman" w:hAnsi="Times New Roman" w:eastAsia="仿宋_GB2312" w:cs="Times New Roman"/>
                <w:color w:val="000000"/>
                <w:kern w:val="0"/>
                <w:sz w:val="24"/>
                <w:szCs w:val="24"/>
                <w:lang w:bidi="ar"/>
              </w:rPr>
              <w:t>精准扶贫村智能健康监测设备配备率100%，支持开展远程问诊、远程会诊、远程教育等远程医疗服务。</w:t>
            </w:r>
          </w:p>
        </w:tc>
        <w:tc>
          <w:tcPr>
            <w:tcW w:w="29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是否如期实现预期总体目标</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9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预期阶段性目标</w:t>
            </w:r>
          </w:p>
        </w:tc>
        <w:tc>
          <w:tcPr>
            <w:tcW w:w="4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目标1：招生完成率≧80%</w:t>
            </w:r>
          </w:p>
        </w:tc>
        <w:tc>
          <w:tcPr>
            <w:tcW w:w="30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实际完成情况</w:t>
            </w:r>
          </w:p>
        </w:tc>
        <w:tc>
          <w:tcPr>
            <w:tcW w:w="44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目标1：招生完成率111.61%</w:t>
            </w:r>
          </w:p>
        </w:tc>
      </w:tr>
      <w:tr>
        <w:tblPrEx>
          <w:tblCellMar>
            <w:top w:w="0" w:type="dxa"/>
            <w:left w:w="0" w:type="dxa"/>
            <w:bottom w:w="0" w:type="dxa"/>
            <w:right w:w="0" w:type="dxa"/>
          </w:tblCellMar>
        </w:tblPrEx>
        <w:trPr>
          <w:trHeight w:val="73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4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目标2：</w:t>
            </w:r>
            <w:r>
              <w:rPr>
                <w:rFonts w:hint="default" w:ascii="Times New Roman" w:hAnsi="Times New Roman" w:eastAsia="仿宋_GB2312" w:cs="Times New Roman"/>
                <w:color w:val="000000"/>
                <w:sz w:val="24"/>
                <w:szCs w:val="24"/>
              </w:rPr>
              <w:t>设备交付率</w:t>
            </w:r>
            <w:r>
              <w:rPr>
                <w:rFonts w:hint="default" w:ascii="Times New Roman" w:hAnsi="Times New Roman" w:eastAsia="仿宋_GB2312" w:cs="Times New Roman"/>
                <w:color w:val="000000"/>
                <w:sz w:val="24"/>
                <w:szCs w:val="24"/>
                <w:lang w:val="en-US" w:eastAsia="zh-CN"/>
              </w:rPr>
              <w:t>100%</w:t>
            </w:r>
          </w:p>
        </w:tc>
        <w:tc>
          <w:tcPr>
            <w:tcW w:w="30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44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目标2：</w:t>
            </w:r>
            <w:r>
              <w:rPr>
                <w:rFonts w:hint="default" w:ascii="Times New Roman" w:hAnsi="Times New Roman" w:eastAsia="仿宋_GB2312" w:cs="Times New Roman"/>
                <w:color w:val="000000"/>
                <w:sz w:val="24"/>
                <w:szCs w:val="24"/>
              </w:rPr>
              <w:t>设备交付率</w:t>
            </w:r>
            <w:r>
              <w:rPr>
                <w:rFonts w:hint="default" w:ascii="Times New Roman" w:hAnsi="Times New Roman" w:eastAsia="仿宋_GB2312" w:cs="Times New Roman"/>
                <w:color w:val="000000"/>
                <w:sz w:val="24"/>
                <w:szCs w:val="24"/>
                <w:lang w:val="en-US" w:eastAsia="zh-CN"/>
              </w:rPr>
              <w:t>100%</w:t>
            </w:r>
          </w:p>
        </w:tc>
      </w:tr>
      <w:tr>
        <w:tblPrEx>
          <w:tblCellMar>
            <w:top w:w="0" w:type="dxa"/>
            <w:left w:w="0" w:type="dxa"/>
            <w:bottom w:w="0" w:type="dxa"/>
            <w:right w:w="0" w:type="dxa"/>
          </w:tblCellMar>
        </w:tblPrEx>
        <w:trPr>
          <w:trHeight w:val="9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470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目标3：</w:t>
            </w:r>
            <w:r>
              <w:rPr>
                <w:rFonts w:hint="default" w:ascii="Times New Roman" w:hAnsi="Times New Roman" w:eastAsia="仿宋_GB2312" w:cs="Times New Roman"/>
                <w:color w:val="000000"/>
                <w:sz w:val="24"/>
                <w:szCs w:val="24"/>
              </w:rPr>
              <w:t>专科特设岗位专家招聘到位率</w:t>
            </w:r>
            <w:r>
              <w:rPr>
                <w:rFonts w:hint="default" w:ascii="Times New Roman" w:hAnsi="Times New Roman" w:eastAsia="仿宋_GB2312" w:cs="Times New Roman"/>
                <w:color w:val="000000"/>
                <w:sz w:val="24"/>
                <w:szCs w:val="24"/>
                <w:lang w:val="en-US" w:eastAsia="zh-CN"/>
              </w:rPr>
              <w:t>100%</w:t>
            </w:r>
          </w:p>
        </w:tc>
        <w:tc>
          <w:tcPr>
            <w:tcW w:w="30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4425" w:type="dxa"/>
            <w:gridSpan w:val="3"/>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目标3：</w:t>
            </w:r>
            <w:r>
              <w:rPr>
                <w:rFonts w:hint="default" w:ascii="Times New Roman" w:hAnsi="Times New Roman" w:eastAsia="仿宋_GB2312" w:cs="Times New Roman"/>
                <w:color w:val="000000"/>
                <w:sz w:val="24"/>
                <w:szCs w:val="24"/>
              </w:rPr>
              <w:t>专科特设岗位专家招聘到位率</w:t>
            </w:r>
            <w:r>
              <w:rPr>
                <w:rFonts w:hint="default" w:ascii="Times New Roman" w:hAnsi="Times New Roman" w:eastAsia="仿宋_GB2312" w:cs="Times New Roman"/>
                <w:color w:val="000000"/>
                <w:sz w:val="24"/>
                <w:szCs w:val="24"/>
                <w:lang w:val="en-US" w:eastAsia="zh-CN"/>
              </w:rPr>
              <w:t>1</w:t>
            </w:r>
            <w:r>
              <w:rPr>
                <w:rFonts w:hint="eastAsia" w:ascii="Times New Roman" w:hAnsi="Times New Roman" w:eastAsia="仿宋_GB2312" w:cs="Times New Roman"/>
                <w:color w:val="000000"/>
                <w:sz w:val="24"/>
                <w:szCs w:val="24"/>
                <w:lang w:val="en-US" w:eastAsia="zh-CN"/>
              </w:rPr>
              <w:t>16.79</w:t>
            </w:r>
            <w:r>
              <w:rPr>
                <w:rFonts w:hint="default" w:ascii="Times New Roman" w:hAnsi="Times New Roman" w:eastAsia="仿宋_GB2312" w:cs="Times New Roman"/>
                <w:color w:val="000000"/>
                <w:sz w:val="24"/>
                <w:szCs w:val="24"/>
                <w:lang w:val="en-US" w:eastAsia="zh-CN"/>
              </w:rPr>
              <w:t>%</w:t>
            </w:r>
          </w:p>
        </w:tc>
      </w:tr>
      <w:tr>
        <w:tblPrEx>
          <w:tblCellMar>
            <w:top w:w="0" w:type="dxa"/>
            <w:left w:w="0" w:type="dxa"/>
            <w:bottom w:w="0" w:type="dxa"/>
            <w:right w:w="0" w:type="dxa"/>
          </w:tblCellMar>
        </w:tblPrEx>
        <w:trPr>
          <w:trHeight w:val="675"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绩效指标情况</w:t>
            </w:r>
          </w:p>
        </w:tc>
        <w:tc>
          <w:tcPr>
            <w:tcW w:w="7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0" w:afterLines="0" w:afterAutospacing="0" w:line="32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br w:type="textWrapping"/>
            </w:r>
            <w:r>
              <w:rPr>
                <w:rFonts w:hint="default" w:ascii="Times New Roman" w:hAnsi="Times New Roman" w:eastAsia="仿宋_GB2312" w:cs="Times New Roman"/>
                <w:b/>
                <w:i w:val="0"/>
                <w:color w:val="000000"/>
                <w:kern w:val="0"/>
                <w:sz w:val="24"/>
                <w:szCs w:val="24"/>
                <w:u w:val="none"/>
                <w:lang w:val="en-US" w:eastAsia="zh-CN" w:bidi="ar"/>
              </w:rPr>
              <w:br w:type="textWrapping"/>
            </w:r>
            <w:r>
              <w:rPr>
                <w:rFonts w:hint="default" w:ascii="Times New Roman" w:hAnsi="Times New Roman" w:eastAsia="仿宋_GB2312" w:cs="Times New Roman"/>
                <w:b/>
                <w:i w:val="0"/>
                <w:color w:val="000000"/>
                <w:kern w:val="0"/>
                <w:sz w:val="24"/>
                <w:szCs w:val="24"/>
                <w:u w:val="none"/>
                <w:lang w:val="en-US" w:eastAsia="zh-CN" w:bidi="ar"/>
              </w:rPr>
              <w:br w:type="textWrapping"/>
            </w:r>
            <w:r>
              <w:rPr>
                <w:rFonts w:hint="default" w:ascii="Times New Roman" w:hAnsi="Times New Roman" w:eastAsia="仿宋_GB2312" w:cs="Times New Roman"/>
                <w:b/>
                <w:i w:val="0"/>
                <w:color w:val="000000"/>
                <w:kern w:val="0"/>
                <w:sz w:val="24"/>
                <w:szCs w:val="24"/>
                <w:u w:val="none"/>
                <w:lang w:val="en-US" w:eastAsia="zh-CN" w:bidi="ar"/>
              </w:rPr>
              <w:t>产出指标</w:t>
            </w:r>
            <w:r>
              <w:rPr>
                <w:rFonts w:hint="default" w:ascii="Times New Roman" w:hAnsi="Times New Roman" w:eastAsia="仿宋_GB2312" w:cs="Times New Roman"/>
                <w:b/>
                <w:i w:val="0"/>
                <w:color w:val="000000"/>
                <w:kern w:val="0"/>
                <w:sz w:val="24"/>
                <w:szCs w:val="24"/>
                <w:u w:val="none"/>
                <w:lang w:val="en-US" w:eastAsia="zh-CN" w:bidi="ar"/>
              </w:rPr>
              <w:br w:type="textWrapping"/>
            </w:r>
            <w:r>
              <w:rPr>
                <w:rFonts w:hint="default" w:ascii="Times New Roman" w:hAnsi="Times New Roman" w:eastAsia="仿宋_GB2312" w:cs="Times New Roman"/>
                <w:b/>
                <w:i w:val="0"/>
                <w:color w:val="000000"/>
                <w:kern w:val="0"/>
                <w:sz w:val="24"/>
                <w:szCs w:val="24"/>
                <w:u w:val="none"/>
                <w:lang w:val="en-US" w:eastAsia="zh-CN" w:bidi="ar"/>
              </w:rPr>
              <w:br w:type="textWrapping"/>
            </w:r>
            <w:r>
              <w:rPr>
                <w:rFonts w:hint="default" w:ascii="Times New Roman" w:hAnsi="Times New Roman" w:eastAsia="仿宋_GB2312" w:cs="Times New Roman"/>
                <w:b/>
                <w:i w:val="0"/>
                <w:color w:val="000000"/>
                <w:kern w:val="0"/>
                <w:sz w:val="24"/>
                <w:szCs w:val="24"/>
                <w:u w:val="none"/>
                <w:lang w:val="en-US" w:eastAsia="zh-CN" w:bidi="ar"/>
              </w:rPr>
              <w:br w:type="textWrapping"/>
            </w:r>
            <w:r>
              <w:rPr>
                <w:rFonts w:hint="default" w:ascii="Times New Roman" w:hAnsi="Times New Roman" w:eastAsia="仿宋_GB2312" w:cs="Times New Roman"/>
                <w:b/>
                <w:i w:val="0"/>
                <w:color w:val="000000"/>
                <w:kern w:val="0"/>
                <w:sz w:val="24"/>
                <w:szCs w:val="24"/>
                <w:u w:val="none"/>
                <w:lang w:val="en-US" w:eastAsia="zh-CN" w:bidi="ar"/>
              </w:rPr>
              <w:br w:type="textWrapping"/>
            </w:r>
            <w:r>
              <w:rPr>
                <w:rFonts w:hint="default" w:ascii="Times New Roman" w:hAnsi="Times New Roman" w:eastAsia="仿宋_GB2312" w:cs="Times New Roman"/>
                <w:b/>
                <w:i w:val="0"/>
                <w:color w:val="000000"/>
                <w:kern w:val="0"/>
                <w:sz w:val="24"/>
                <w:szCs w:val="24"/>
                <w:u w:val="none"/>
                <w:lang w:val="en-US" w:eastAsia="zh-CN" w:bidi="ar"/>
              </w:rPr>
              <w:br w:type="textWrapping"/>
            </w:r>
          </w:p>
        </w:tc>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绩效指标</w:t>
            </w: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指标名称</w:t>
            </w: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指标内容及口径</w:t>
            </w:r>
          </w:p>
        </w:tc>
        <w:tc>
          <w:tcPr>
            <w:tcW w:w="29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评价年度预期值</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评价年度实现值</w:t>
            </w:r>
          </w:p>
        </w:tc>
      </w:tr>
      <w:tr>
        <w:tblPrEx>
          <w:tblCellMar>
            <w:top w:w="0" w:type="dxa"/>
            <w:left w:w="0" w:type="dxa"/>
            <w:bottom w:w="0" w:type="dxa"/>
            <w:right w:w="0" w:type="dxa"/>
          </w:tblCellMar>
        </w:tblPrEx>
        <w:trPr>
          <w:trHeight w:val="492"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数量指标</w:t>
            </w:r>
          </w:p>
        </w:tc>
        <w:tc>
          <w:tcPr>
            <w:tcW w:w="25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color w:val="000000"/>
                <w:sz w:val="24"/>
                <w:szCs w:val="24"/>
              </w:rPr>
              <w:t>百名首席专家下基层计划补助资金省级财政拨付率</w:t>
            </w:r>
          </w:p>
        </w:tc>
        <w:tc>
          <w:tcPr>
            <w:tcW w:w="30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反映与考核</w:t>
            </w:r>
            <w:r>
              <w:rPr>
                <w:rFonts w:hint="default" w:ascii="Times New Roman" w:hAnsi="Times New Roman" w:eastAsia="仿宋_GB2312" w:cs="Times New Roman"/>
                <w:color w:val="000000"/>
                <w:sz w:val="24"/>
                <w:szCs w:val="24"/>
              </w:rPr>
              <w:t>百名首席专家下基层计划补助资金</w:t>
            </w:r>
            <w:r>
              <w:rPr>
                <w:rFonts w:hint="default" w:ascii="Times New Roman" w:hAnsi="Times New Roman" w:eastAsia="仿宋_GB2312" w:cs="Times New Roman"/>
                <w:color w:val="000000"/>
                <w:sz w:val="24"/>
                <w:szCs w:val="24"/>
                <w:lang w:val="en-US" w:eastAsia="zh-CN"/>
              </w:rPr>
              <w:t>拨付情况</w:t>
            </w:r>
          </w:p>
        </w:tc>
        <w:tc>
          <w:tcPr>
            <w:tcW w:w="299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100%</w:t>
            </w:r>
          </w:p>
        </w:tc>
        <w:tc>
          <w:tcPr>
            <w:tcW w:w="14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100%</w:t>
            </w:r>
          </w:p>
        </w:tc>
      </w:tr>
      <w:tr>
        <w:tblPrEx>
          <w:tblCellMar>
            <w:top w:w="0" w:type="dxa"/>
            <w:left w:w="0" w:type="dxa"/>
            <w:bottom w:w="0" w:type="dxa"/>
            <w:right w:w="0" w:type="dxa"/>
          </w:tblCellMar>
        </w:tblPrEx>
        <w:trPr>
          <w:trHeight w:val="206"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25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color w:val="000000"/>
                <w:sz w:val="24"/>
                <w:szCs w:val="24"/>
              </w:rPr>
              <w:t>千名高校毕业生下基层计划补助资金省级财政拨付率</w:t>
            </w:r>
          </w:p>
        </w:tc>
        <w:tc>
          <w:tcPr>
            <w:tcW w:w="30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sz w:val="24"/>
                <w:szCs w:val="24"/>
                <w:u w:val="none"/>
                <w:lang w:val="en-US" w:eastAsia="zh-CN"/>
              </w:rPr>
              <w:t>反映与考核</w:t>
            </w:r>
            <w:r>
              <w:rPr>
                <w:rFonts w:hint="default" w:ascii="Times New Roman" w:hAnsi="Times New Roman" w:eastAsia="仿宋_GB2312" w:cs="Times New Roman"/>
                <w:color w:val="000000"/>
                <w:sz w:val="24"/>
                <w:szCs w:val="24"/>
              </w:rPr>
              <w:t>千名高校毕业生下基层计划补助资金</w:t>
            </w:r>
            <w:r>
              <w:rPr>
                <w:rFonts w:hint="default" w:ascii="Times New Roman" w:hAnsi="Times New Roman" w:eastAsia="仿宋_GB2312" w:cs="Times New Roman"/>
                <w:color w:val="000000"/>
                <w:sz w:val="24"/>
                <w:szCs w:val="24"/>
                <w:lang w:val="en-US" w:eastAsia="zh-CN"/>
              </w:rPr>
              <w:t>拨付情况</w:t>
            </w:r>
          </w:p>
        </w:tc>
        <w:tc>
          <w:tcPr>
            <w:tcW w:w="2992"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sz w:val="24"/>
                <w:szCs w:val="24"/>
                <w:u w:val="none"/>
                <w:lang w:val="en-US" w:eastAsia="zh-CN"/>
              </w:rPr>
              <w:t>100%</w:t>
            </w:r>
          </w:p>
        </w:tc>
        <w:tc>
          <w:tcPr>
            <w:tcW w:w="143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sz w:val="24"/>
                <w:szCs w:val="24"/>
                <w:u w:val="none"/>
                <w:lang w:val="en-US" w:eastAsia="zh-CN"/>
              </w:rPr>
              <w:t>100%</w:t>
            </w:r>
          </w:p>
        </w:tc>
      </w:tr>
      <w:tr>
        <w:tblPrEx>
          <w:tblCellMar>
            <w:top w:w="0" w:type="dxa"/>
            <w:left w:w="0" w:type="dxa"/>
            <w:bottom w:w="0" w:type="dxa"/>
            <w:right w:w="0" w:type="dxa"/>
          </w:tblCellMar>
        </w:tblPrEx>
        <w:trPr>
          <w:trHeight w:val="206"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25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color w:val="000000"/>
                <w:sz w:val="24"/>
                <w:szCs w:val="24"/>
              </w:rPr>
              <w:t>专科特设岗位专家招聘到位率</w:t>
            </w:r>
          </w:p>
        </w:tc>
        <w:tc>
          <w:tcPr>
            <w:tcW w:w="30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反映与考核</w:t>
            </w:r>
            <w:r>
              <w:rPr>
                <w:rFonts w:hint="default" w:ascii="Times New Roman" w:hAnsi="Times New Roman" w:eastAsia="仿宋_GB2312" w:cs="Times New Roman"/>
                <w:color w:val="000000"/>
                <w:sz w:val="24"/>
                <w:szCs w:val="24"/>
              </w:rPr>
              <w:t>专科特设岗位专家招聘到位</w:t>
            </w:r>
            <w:r>
              <w:rPr>
                <w:rFonts w:hint="default" w:ascii="Times New Roman" w:hAnsi="Times New Roman" w:eastAsia="仿宋_GB2312" w:cs="Times New Roman"/>
                <w:color w:val="000000"/>
                <w:sz w:val="24"/>
                <w:szCs w:val="24"/>
                <w:lang w:val="en-US" w:eastAsia="zh-CN"/>
              </w:rPr>
              <w:t>情况</w:t>
            </w:r>
          </w:p>
        </w:tc>
        <w:tc>
          <w:tcPr>
            <w:tcW w:w="2992"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sz w:val="24"/>
                <w:szCs w:val="24"/>
                <w:u w:val="none"/>
                <w:lang w:val="en-US" w:eastAsia="zh-CN"/>
              </w:rPr>
              <w:t>100%</w:t>
            </w:r>
          </w:p>
        </w:tc>
        <w:tc>
          <w:tcPr>
            <w:tcW w:w="143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sz w:val="24"/>
                <w:szCs w:val="24"/>
                <w:u w:val="none"/>
                <w:lang w:val="en-US" w:eastAsia="zh-CN"/>
              </w:rPr>
              <w:t>100%</w:t>
            </w:r>
          </w:p>
        </w:tc>
      </w:tr>
      <w:tr>
        <w:tblPrEx>
          <w:tblCellMar>
            <w:top w:w="0" w:type="dxa"/>
            <w:left w:w="0" w:type="dxa"/>
            <w:bottom w:w="0" w:type="dxa"/>
            <w:right w:w="0" w:type="dxa"/>
          </w:tblCellMar>
        </w:tblPrEx>
        <w:trPr>
          <w:trHeight w:val="131"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25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项目招生完成率</w:t>
            </w:r>
          </w:p>
        </w:tc>
        <w:tc>
          <w:tcPr>
            <w:tcW w:w="30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反映与考核年度实际招生情况</w:t>
            </w:r>
          </w:p>
        </w:tc>
        <w:tc>
          <w:tcPr>
            <w:tcW w:w="2992"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80%</w:t>
            </w:r>
          </w:p>
        </w:tc>
        <w:tc>
          <w:tcPr>
            <w:tcW w:w="143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ascii="Times New Roman" w:hAnsi="Times New Roman" w:eastAsia="仿宋_GB2312" w:cs="Times New Roman"/>
                <w:i w:val="0"/>
                <w:color w:val="000000"/>
                <w:kern w:val="0"/>
                <w:sz w:val="24"/>
                <w:szCs w:val="24"/>
                <w:u w:val="none"/>
                <w:lang w:val="en-US" w:eastAsia="zh-CN" w:bidi="ar"/>
              </w:rPr>
              <w:t>16.79</w:t>
            </w:r>
            <w:r>
              <w:rPr>
                <w:rFonts w:hint="default" w:ascii="Times New Roman" w:hAnsi="Times New Roman" w:eastAsia="仿宋_GB2312" w:cs="Times New Roman"/>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144"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25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color w:val="000000"/>
                <w:sz w:val="24"/>
                <w:szCs w:val="24"/>
              </w:rPr>
              <w:t>设备交付率</w:t>
            </w:r>
          </w:p>
        </w:tc>
        <w:tc>
          <w:tcPr>
            <w:tcW w:w="30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反映与考核设备交付情况。</w:t>
            </w:r>
          </w:p>
        </w:tc>
        <w:tc>
          <w:tcPr>
            <w:tcW w:w="2992"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sz w:val="24"/>
                <w:szCs w:val="24"/>
                <w:u w:val="none"/>
                <w:lang w:val="en-US" w:eastAsia="zh-CN"/>
              </w:rPr>
              <w:t>100%</w:t>
            </w:r>
          </w:p>
        </w:tc>
        <w:tc>
          <w:tcPr>
            <w:tcW w:w="14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sz w:val="24"/>
                <w:szCs w:val="24"/>
                <w:u w:val="none"/>
                <w:lang w:val="en-US" w:eastAsia="zh-CN"/>
              </w:rPr>
              <w:t>100%</w:t>
            </w:r>
          </w:p>
        </w:tc>
      </w:tr>
      <w:tr>
        <w:tblPrEx>
          <w:tblCellMar>
            <w:top w:w="0" w:type="dxa"/>
            <w:left w:w="0" w:type="dxa"/>
            <w:bottom w:w="0" w:type="dxa"/>
            <w:right w:w="0" w:type="dxa"/>
          </w:tblCellMar>
        </w:tblPrEx>
        <w:trPr>
          <w:trHeight w:val="46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质量指标</w:t>
            </w:r>
          </w:p>
        </w:tc>
        <w:tc>
          <w:tcPr>
            <w:tcW w:w="25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项目培训合格率</w:t>
            </w:r>
          </w:p>
        </w:tc>
        <w:tc>
          <w:tcPr>
            <w:tcW w:w="30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反映与考核培训质量。</w:t>
            </w:r>
          </w:p>
        </w:tc>
        <w:tc>
          <w:tcPr>
            <w:tcW w:w="299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w:t>
            </w:r>
          </w:p>
        </w:tc>
        <w:tc>
          <w:tcPr>
            <w:tcW w:w="14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97.14%</w:t>
            </w:r>
          </w:p>
        </w:tc>
      </w:tr>
      <w:tr>
        <w:tblPrEx>
          <w:tblCellMar>
            <w:top w:w="0" w:type="dxa"/>
            <w:left w:w="0" w:type="dxa"/>
            <w:bottom w:w="0" w:type="dxa"/>
            <w:right w:w="0" w:type="dxa"/>
          </w:tblCellMar>
        </w:tblPrEx>
        <w:trPr>
          <w:trHeight w:val="225"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25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color w:val="000000"/>
                <w:sz w:val="24"/>
                <w:szCs w:val="24"/>
              </w:rPr>
              <w:t>系统验收合格率</w:t>
            </w:r>
          </w:p>
        </w:tc>
        <w:tc>
          <w:tcPr>
            <w:tcW w:w="30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反映与考核系统质量。</w:t>
            </w:r>
          </w:p>
        </w:tc>
        <w:tc>
          <w:tcPr>
            <w:tcW w:w="2992"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100%</w:t>
            </w:r>
          </w:p>
        </w:tc>
        <w:tc>
          <w:tcPr>
            <w:tcW w:w="14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42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时效指标</w:t>
            </w: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时效性</w:t>
            </w: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反映与考核项目是否按时完成。</w:t>
            </w:r>
          </w:p>
        </w:tc>
        <w:tc>
          <w:tcPr>
            <w:tcW w:w="29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按时完成</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按时完成</w:t>
            </w:r>
          </w:p>
        </w:tc>
      </w:tr>
      <w:tr>
        <w:tblPrEx>
          <w:tblCellMar>
            <w:top w:w="0" w:type="dxa"/>
            <w:left w:w="0" w:type="dxa"/>
            <w:bottom w:w="0" w:type="dxa"/>
            <w:right w:w="0" w:type="dxa"/>
          </w:tblCellMar>
        </w:tblPrEx>
        <w:trPr>
          <w:trHeight w:val="487"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社会效益指标</w:t>
            </w:r>
          </w:p>
        </w:tc>
        <w:tc>
          <w:tcPr>
            <w:tcW w:w="25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县域内住院率</w:t>
            </w:r>
          </w:p>
        </w:tc>
        <w:tc>
          <w:tcPr>
            <w:tcW w:w="30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val="en-US" w:eastAsia="zh-CN" w:bidi="ar"/>
              </w:rPr>
              <w:t>反映与考核</w:t>
            </w:r>
            <w:r>
              <w:rPr>
                <w:rFonts w:hint="default" w:ascii="Times New Roman" w:hAnsi="Times New Roman" w:eastAsia="仿宋_GB2312" w:cs="Times New Roman"/>
                <w:color w:val="000000"/>
                <w:sz w:val="24"/>
                <w:szCs w:val="24"/>
              </w:rPr>
              <w:t>县域内住院</w:t>
            </w:r>
            <w:r>
              <w:rPr>
                <w:rFonts w:hint="default" w:ascii="Times New Roman" w:hAnsi="Times New Roman" w:eastAsia="仿宋_GB2312" w:cs="Times New Roman"/>
                <w:color w:val="000000"/>
                <w:sz w:val="24"/>
                <w:szCs w:val="24"/>
                <w:lang w:val="en-US" w:eastAsia="zh-CN"/>
              </w:rPr>
              <w:t>情况</w:t>
            </w:r>
          </w:p>
        </w:tc>
        <w:tc>
          <w:tcPr>
            <w:tcW w:w="299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color w:val="000000"/>
                <w:kern w:val="0"/>
                <w:sz w:val="24"/>
                <w:szCs w:val="24"/>
                <w:lang w:bidi="ar"/>
              </w:rPr>
              <w:t>82.4%</w:t>
            </w:r>
          </w:p>
        </w:tc>
        <w:tc>
          <w:tcPr>
            <w:tcW w:w="14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＞84%</w:t>
            </w:r>
          </w:p>
        </w:tc>
      </w:tr>
      <w:tr>
        <w:tblPrEx>
          <w:tblCellMar>
            <w:top w:w="0" w:type="dxa"/>
            <w:left w:w="0" w:type="dxa"/>
            <w:bottom w:w="0" w:type="dxa"/>
            <w:right w:w="0" w:type="dxa"/>
          </w:tblCellMar>
        </w:tblPrEx>
        <w:trPr>
          <w:trHeight w:val="318"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25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系统正常运行率</w:t>
            </w:r>
          </w:p>
        </w:tc>
        <w:tc>
          <w:tcPr>
            <w:tcW w:w="30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val="en-US" w:eastAsia="zh-CN" w:bidi="ar"/>
              </w:rPr>
              <w:t>反映与考核系统运行情况</w:t>
            </w:r>
          </w:p>
        </w:tc>
        <w:tc>
          <w:tcPr>
            <w:tcW w:w="2992"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color w:val="000000"/>
                <w:sz w:val="24"/>
                <w:szCs w:val="24"/>
                <w:shd w:val="clear" w:color="auto" w:fill="FFFFFF"/>
              </w:rPr>
              <w:t>10</w:t>
            </w:r>
            <w:r>
              <w:rPr>
                <w:rFonts w:hint="default" w:ascii="Times New Roman" w:hAnsi="Times New Roman" w:eastAsia="仿宋_GB2312" w:cs="Times New Roman"/>
                <w:color w:val="000000"/>
                <w:sz w:val="24"/>
                <w:szCs w:val="24"/>
              </w:rPr>
              <w:t>0%</w:t>
            </w:r>
          </w:p>
        </w:tc>
        <w:tc>
          <w:tcPr>
            <w:tcW w:w="14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color w:val="000000"/>
                <w:sz w:val="24"/>
                <w:szCs w:val="24"/>
                <w:shd w:val="clear" w:color="auto" w:fill="FFFFFF"/>
              </w:rPr>
              <w:t>10</w:t>
            </w:r>
            <w:r>
              <w:rPr>
                <w:rFonts w:hint="default" w:ascii="Times New Roman" w:hAnsi="Times New Roman" w:eastAsia="仿宋_GB2312" w:cs="Times New Roman"/>
                <w:color w:val="000000"/>
                <w:sz w:val="24"/>
                <w:szCs w:val="24"/>
              </w:rPr>
              <w:t>0%</w:t>
            </w:r>
          </w:p>
        </w:tc>
      </w:tr>
      <w:tr>
        <w:tblPrEx>
          <w:tblCellMar>
            <w:top w:w="0" w:type="dxa"/>
            <w:left w:w="0" w:type="dxa"/>
            <w:bottom w:w="0" w:type="dxa"/>
            <w:right w:w="0" w:type="dxa"/>
          </w:tblCellMar>
        </w:tblPrEx>
        <w:trPr>
          <w:trHeight w:val="865"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设备采购经济性</w:t>
            </w: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val="en-US" w:eastAsia="zh-CN" w:bidi="ar"/>
              </w:rPr>
              <w:t>反映与考核</w:t>
            </w:r>
            <w:r>
              <w:rPr>
                <w:rFonts w:hint="default" w:ascii="Times New Roman" w:hAnsi="Times New Roman" w:eastAsia="仿宋_GB2312" w:cs="Times New Roman"/>
                <w:color w:val="000000"/>
                <w:sz w:val="24"/>
                <w:szCs w:val="24"/>
              </w:rPr>
              <w:t>设备采购</w:t>
            </w:r>
            <w:r>
              <w:rPr>
                <w:rFonts w:hint="default" w:ascii="Times New Roman" w:hAnsi="Times New Roman" w:eastAsia="仿宋_GB2312" w:cs="Times New Roman"/>
                <w:color w:val="000000"/>
                <w:sz w:val="24"/>
                <w:szCs w:val="24"/>
                <w:lang w:val="en-US" w:eastAsia="zh-CN"/>
              </w:rPr>
              <w:t>是否经济</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是否超预算</w:t>
            </w:r>
          </w:p>
        </w:tc>
        <w:tc>
          <w:tcPr>
            <w:tcW w:w="29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color w:val="000000"/>
                <w:sz w:val="24"/>
                <w:szCs w:val="24"/>
                <w:shd w:val="clear" w:color="auto" w:fill="FFFFFF"/>
              </w:rPr>
              <w:t>10</w:t>
            </w:r>
            <w:r>
              <w:rPr>
                <w:rFonts w:hint="default" w:ascii="Times New Roman" w:hAnsi="Times New Roman" w:eastAsia="仿宋_GB2312" w:cs="Times New Roman"/>
                <w:color w:val="000000"/>
                <w:sz w:val="24"/>
                <w:szCs w:val="24"/>
              </w:rPr>
              <w:t>0</w:t>
            </w:r>
            <w:r>
              <w:rPr>
                <w:rFonts w:hint="default" w:ascii="Times New Roman" w:hAnsi="Times New Roman" w:eastAsia="仿宋_GB2312" w:cs="Times New Roman"/>
                <w:color w:val="000000"/>
                <w:sz w:val="24"/>
                <w:szCs w:val="24"/>
                <w:shd w:val="clear" w:color="auto" w:fill="FFFFFF"/>
              </w:rPr>
              <w:t>%</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color w:val="000000"/>
                <w:sz w:val="24"/>
                <w:szCs w:val="24"/>
                <w:shd w:val="clear" w:color="auto" w:fill="FFFFFF"/>
              </w:rPr>
              <w:t>10</w:t>
            </w:r>
            <w:r>
              <w:rPr>
                <w:rFonts w:hint="default" w:ascii="Times New Roman" w:hAnsi="Times New Roman" w:eastAsia="仿宋_GB2312" w:cs="Times New Roman"/>
                <w:color w:val="000000"/>
                <w:sz w:val="24"/>
                <w:szCs w:val="24"/>
              </w:rPr>
              <w:t>0</w:t>
            </w:r>
            <w:r>
              <w:rPr>
                <w:rFonts w:hint="default" w:ascii="Times New Roman" w:hAnsi="Times New Roman" w:eastAsia="仿宋_GB2312" w:cs="Times New Roman"/>
                <w:color w:val="000000"/>
                <w:sz w:val="24"/>
                <w:szCs w:val="24"/>
                <w:shd w:val="clear" w:color="auto" w:fill="FFFFFF"/>
              </w:rPr>
              <w:t>%</w:t>
            </w:r>
          </w:p>
        </w:tc>
      </w:tr>
      <w:tr>
        <w:tblPrEx>
          <w:tblCellMar>
            <w:top w:w="0" w:type="dxa"/>
            <w:left w:w="0" w:type="dxa"/>
            <w:bottom w:w="0" w:type="dxa"/>
            <w:right w:w="0" w:type="dxa"/>
          </w:tblCellMar>
        </w:tblPrEx>
        <w:trPr>
          <w:trHeight w:val="78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可持续发展指标</w:t>
            </w:r>
          </w:p>
        </w:tc>
        <w:tc>
          <w:tcPr>
            <w:tcW w:w="25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可持续发展</w:t>
            </w: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color w:val="000000"/>
                <w:kern w:val="0"/>
                <w:sz w:val="24"/>
                <w:szCs w:val="24"/>
                <w:lang w:val="en-US" w:eastAsia="zh-CN" w:bidi="ar"/>
              </w:rPr>
              <w:t>反映与考核项目是否具有可持续性</w:t>
            </w:r>
          </w:p>
        </w:tc>
        <w:tc>
          <w:tcPr>
            <w:tcW w:w="29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可持续</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可持续</w:t>
            </w:r>
          </w:p>
        </w:tc>
      </w:tr>
      <w:tr>
        <w:tblPrEx>
          <w:tblCellMar>
            <w:top w:w="0" w:type="dxa"/>
            <w:left w:w="0" w:type="dxa"/>
            <w:bottom w:w="0" w:type="dxa"/>
            <w:right w:w="0" w:type="dxa"/>
          </w:tblCellMar>
        </w:tblPrEx>
        <w:trPr>
          <w:trHeight w:val="635"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b/>
                <w:i w:val="0"/>
                <w:color w:val="000000"/>
                <w:sz w:val="24"/>
                <w:szCs w:val="24"/>
                <w:u w:val="none"/>
              </w:rPr>
            </w:pPr>
          </w:p>
        </w:tc>
        <w:tc>
          <w:tcPr>
            <w:tcW w:w="21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满意度指标</w:t>
            </w:r>
          </w:p>
        </w:tc>
        <w:tc>
          <w:tcPr>
            <w:tcW w:w="25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满意度</w:t>
            </w:r>
          </w:p>
        </w:tc>
        <w:tc>
          <w:tcPr>
            <w:tcW w:w="3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反映与考核受益对象对项目实施的满意情况</w:t>
            </w:r>
          </w:p>
        </w:tc>
        <w:tc>
          <w:tcPr>
            <w:tcW w:w="29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85%</w:t>
            </w:r>
          </w:p>
        </w:tc>
        <w:tc>
          <w:tcPr>
            <w:tcW w:w="1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100%</w:t>
            </w:r>
          </w:p>
        </w:tc>
      </w:tr>
      <w:tr>
        <w:tblPrEx>
          <w:tblCellMar>
            <w:top w:w="0" w:type="dxa"/>
            <w:left w:w="0" w:type="dxa"/>
            <w:bottom w:w="0" w:type="dxa"/>
            <w:right w:w="0" w:type="dxa"/>
          </w:tblCellMar>
        </w:tblPrEx>
        <w:trPr>
          <w:trHeight w:val="720" w:hRule="atLeast"/>
          <w:jc w:val="center"/>
        </w:trPr>
        <w:tc>
          <w:tcPr>
            <w:tcW w:w="179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单位需要说明的其他情况</w:t>
            </w:r>
          </w:p>
        </w:tc>
        <w:tc>
          <w:tcPr>
            <w:tcW w:w="1219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无</w:t>
            </w:r>
          </w:p>
        </w:tc>
      </w:tr>
      <w:tr>
        <w:tblPrEx>
          <w:tblCellMar>
            <w:top w:w="0" w:type="dxa"/>
            <w:left w:w="0" w:type="dxa"/>
            <w:bottom w:w="0" w:type="dxa"/>
            <w:right w:w="0" w:type="dxa"/>
          </w:tblCellMar>
        </w:tblPrEx>
        <w:trPr>
          <w:trHeight w:val="375" w:hRule="atLeast"/>
          <w:jc w:val="center"/>
        </w:trPr>
        <w:tc>
          <w:tcPr>
            <w:tcW w:w="684"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备注：</w:t>
            </w:r>
          </w:p>
        </w:tc>
        <w:tc>
          <w:tcPr>
            <w:tcW w:w="5806"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到期项目则按年度填写；其他项目则按评价年度填写。</w:t>
            </w:r>
          </w:p>
        </w:tc>
        <w:tc>
          <w:tcPr>
            <w:tcW w:w="3070" w:type="dxa"/>
            <w:tcBorders>
              <w:top w:val="nil"/>
              <w:left w:val="nil"/>
              <w:bottom w:val="nil"/>
              <w:right w:val="nil"/>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2992" w:type="dxa"/>
            <w:gridSpan w:val="2"/>
            <w:tcBorders>
              <w:top w:val="nil"/>
              <w:left w:val="nil"/>
              <w:bottom w:val="nil"/>
              <w:right w:val="nil"/>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c>
          <w:tcPr>
            <w:tcW w:w="1433" w:type="dxa"/>
            <w:tcBorders>
              <w:top w:val="nil"/>
              <w:left w:val="nil"/>
              <w:bottom w:val="nil"/>
              <w:right w:val="nil"/>
            </w:tcBorders>
            <w:noWrap w:val="0"/>
            <w:tcMar>
              <w:top w:w="15" w:type="dxa"/>
              <w:left w:w="15" w:type="dxa"/>
              <w:right w:w="15" w:type="dxa"/>
            </w:tcMar>
            <w:vAlign w:val="center"/>
          </w:tcPr>
          <w:p>
            <w:pPr>
              <w:spacing w:beforeLines="0" w:afterLines="0" w:line="320" w:lineRule="exact"/>
              <w:jc w:val="center"/>
              <w:rPr>
                <w:rFonts w:hint="default" w:ascii="Times New Roman" w:hAnsi="Times New Roman" w:eastAsia="仿宋_GB2312" w:cs="Times New Roman"/>
                <w:i w:val="0"/>
                <w:color w:val="000000"/>
                <w:sz w:val="24"/>
                <w:szCs w:val="24"/>
                <w:u w:val="none"/>
              </w:rPr>
            </w:pPr>
          </w:p>
        </w:tc>
      </w:tr>
    </w:tbl>
    <w:p>
      <w:pPr>
        <w:widowControl/>
        <w:spacing w:line="560" w:lineRule="exact"/>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附件</w:t>
      </w:r>
      <w:r>
        <w:rPr>
          <w:rFonts w:hint="default" w:ascii="Times New Roman" w:hAnsi="Times New Roman" w:eastAsia="仿宋_GB2312" w:cs="Times New Roman"/>
          <w:color w:val="000000"/>
          <w:kern w:val="0"/>
          <w:sz w:val="32"/>
          <w:szCs w:val="32"/>
          <w:lang w:bidi="ar"/>
        </w:rPr>
        <w:t>2</w:t>
      </w:r>
    </w:p>
    <w:p>
      <w:pPr>
        <w:widowControl/>
        <w:spacing w:line="560" w:lineRule="exact"/>
        <w:jc w:val="center"/>
        <w:rPr>
          <w:rFonts w:hint="default" w:ascii="Times New Roman" w:hAnsi="Times New Roman" w:eastAsia="方正小标宋简体" w:cs="Times New Roman"/>
          <w:color w:val="000000"/>
          <w:kern w:val="0"/>
          <w:sz w:val="32"/>
          <w:szCs w:val="32"/>
          <w:lang w:bidi="ar"/>
        </w:rPr>
      </w:pPr>
      <w:r>
        <w:rPr>
          <w:rFonts w:hint="default" w:ascii="Times New Roman" w:hAnsi="Times New Roman" w:eastAsia="方正小标宋简体" w:cs="Times New Roman"/>
          <w:color w:val="000000"/>
          <w:sz w:val="32"/>
          <w:szCs w:val="32"/>
        </w:rPr>
        <w:t>项目支出绩效评价指标</w:t>
      </w:r>
      <w:r>
        <w:rPr>
          <w:rFonts w:hint="default" w:ascii="Times New Roman" w:hAnsi="Times New Roman" w:eastAsia="方正小标宋简体" w:cs="Times New Roman"/>
          <w:color w:val="000000"/>
          <w:kern w:val="0"/>
          <w:sz w:val="32"/>
          <w:szCs w:val="32"/>
          <w:lang w:bidi="ar"/>
        </w:rPr>
        <w:t>自评得分表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586"/>
        <w:gridCol w:w="382"/>
        <w:gridCol w:w="580"/>
        <w:gridCol w:w="850"/>
        <w:gridCol w:w="709"/>
        <w:gridCol w:w="1399"/>
        <w:gridCol w:w="821"/>
        <w:gridCol w:w="7440"/>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750"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ind w:firstLine="420" w:firstLineChars="20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评价指标</w:t>
            </w:r>
          </w:p>
        </w:tc>
        <w:tc>
          <w:tcPr>
            <w:tcW w:w="744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ind w:firstLine="420" w:firstLineChars="20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评分标准</w:t>
            </w:r>
          </w:p>
        </w:tc>
        <w:tc>
          <w:tcPr>
            <w:tcW w:w="6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both"/>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一级指标</w:t>
            </w:r>
          </w:p>
        </w:tc>
        <w:tc>
          <w:tcPr>
            <w:tcW w:w="962"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二级指标</w:t>
            </w:r>
          </w:p>
        </w:tc>
        <w:tc>
          <w:tcPr>
            <w:tcW w:w="155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三级指标</w:t>
            </w:r>
          </w:p>
        </w:tc>
        <w:tc>
          <w:tcPr>
            <w:tcW w:w="222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四级指标</w:t>
            </w:r>
          </w:p>
        </w:tc>
        <w:tc>
          <w:tcPr>
            <w:tcW w:w="74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6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23" w:type="dxa"/>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名称</w:t>
            </w:r>
          </w:p>
        </w:tc>
        <w:tc>
          <w:tcPr>
            <w:tcW w:w="586" w:type="dxa"/>
            <w:vMerge w:val="restart"/>
            <w:tcBorders>
              <w:top w:val="nil"/>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权重(%)</w:t>
            </w:r>
          </w:p>
        </w:tc>
        <w:tc>
          <w:tcPr>
            <w:tcW w:w="382" w:type="dxa"/>
            <w:vMerge w:val="restart"/>
            <w:tcBorders>
              <w:top w:val="nil"/>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名称</w:t>
            </w:r>
          </w:p>
        </w:tc>
        <w:tc>
          <w:tcPr>
            <w:tcW w:w="580" w:type="dxa"/>
            <w:vMerge w:val="restart"/>
            <w:tcBorders>
              <w:top w:val="nil"/>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权重(%)</w:t>
            </w:r>
          </w:p>
        </w:tc>
        <w:tc>
          <w:tcPr>
            <w:tcW w:w="850" w:type="dxa"/>
            <w:vMerge w:val="restart"/>
            <w:tcBorders>
              <w:top w:val="nil"/>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名称</w:t>
            </w:r>
          </w:p>
        </w:tc>
        <w:tc>
          <w:tcPr>
            <w:tcW w:w="709" w:type="dxa"/>
            <w:vMerge w:val="restart"/>
            <w:tcBorders>
              <w:top w:val="nil"/>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权重(%)</w:t>
            </w:r>
          </w:p>
        </w:tc>
        <w:tc>
          <w:tcPr>
            <w:tcW w:w="1399" w:type="dxa"/>
            <w:vMerge w:val="restart"/>
            <w:tcBorders>
              <w:top w:val="nil"/>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名称</w:t>
            </w:r>
          </w:p>
        </w:tc>
        <w:tc>
          <w:tcPr>
            <w:tcW w:w="821" w:type="dxa"/>
            <w:vMerge w:val="restart"/>
            <w:tcBorders>
              <w:top w:val="nil"/>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权重(%)</w:t>
            </w:r>
          </w:p>
        </w:tc>
        <w:tc>
          <w:tcPr>
            <w:tcW w:w="74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6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586"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382"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580"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850"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709"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1399"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821"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744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合计</w:t>
            </w:r>
          </w:p>
        </w:tc>
        <w:tc>
          <w:tcPr>
            <w:tcW w:w="69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23"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投入</w:t>
            </w:r>
          </w:p>
        </w:tc>
        <w:tc>
          <w:tcPr>
            <w:tcW w:w="586"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20</w:t>
            </w:r>
          </w:p>
        </w:tc>
        <w:tc>
          <w:tcPr>
            <w:tcW w:w="382"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项目立项</w:t>
            </w:r>
          </w:p>
        </w:tc>
        <w:tc>
          <w:tcPr>
            <w:tcW w:w="580"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12</w:t>
            </w:r>
          </w:p>
        </w:tc>
        <w:tc>
          <w:tcPr>
            <w:tcW w:w="850"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论证</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决策</w:t>
            </w:r>
          </w:p>
        </w:tc>
        <w:tc>
          <w:tcPr>
            <w:tcW w:w="70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4</w:t>
            </w:r>
          </w:p>
        </w:tc>
        <w:tc>
          <w:tcPr>
            <w:tcW w:w="13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论证充分性</w:t>
            </w:r>
          </w:p>
        </w:tc>
        <w:tc>
          <w:tcPr>
            <w:tcW w:w="82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4</w:t>
            </w:r>
          </w:p>
        </w:tc>
        <w:tc>
          <w:tcPr>
            <w:tcW w:w="7440" w:type="dxa"/>
            <w:tcBorders>
              <w:top w:val="nil"/>
              <w:left w:val="nil"/>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eastAsia="zh-CN"/>
              </w:rPr>
              <w:t>具有</w:t>
            </w:r>
            <w:r>
              <w:rPr>
                <w:rFonts w:hint="default" w:ascii="Times New Roman" w:hAnsi="Times New Roman" w:eastAsia="仿宋_GB2312" w:cs="Times New Roman"/>
                <w:color w:val="000000"/>
                <w:kern w:val="0"/>
                <w:sz w:val="21"/>
                <w:szCs w:val="21"/>
              </w:rPr>
              <w:t>前期可行性研究报告或摸底调查工作总结等文字材料的得</w:t>
            </w:r>
            <w:r>
              <w:rPr>
                <w:rFonts w:hint="default" w:ascii="Times New Roman" w:hAnsi="Times New Roman" w:eastAsia="仿宋_GB2312" w:cs="Times New Roman"/>
                <w:color w:val="000000"/>
                <w:kern w:val="0"/>
                <w:sz w:val="21"/>
                <w:szCs w:val="21"/>
                <w:lang w:val="en-US" w:eastAsia="zh-CN"/>
              </w:rPr>
              <w:t>3</w:t>
            </w:r>
            <w:r>
              <w:rPr>
                <w:rFonts w:hint="default" w:ascii="Times New Roman" w:hAnsi="Times New Roman" w:eastAsia="仿宋_GB2312" w:cs="Times New Roman"/>
                <w:color w:val="000000"/>
                <w:kern w:val="0"/>
                <w:sz w:val="21"/>
                <w:szCs w:val="21"/>
              </w:rPr>
              <w:t>分；经过集体会议协商，并咨询相关专家意见，且有文字材料的得</w:t>
            </w:r>
            <w:r>
              <w:rPr>
                <w:rFonts w:hint="default" w:ascii="Times New Roman" w:hAnsi="Times New Roman" w:eastAsia="仿宋_GB2312" w:cs="Times New Roman"/>
                <w:color w:val="000000"/>
                <w:kern w:val="0"/>
                <w:sz w:val="21"/>
                <w:szCs w:val="21"/>
                <w:lang w:val="en-US" w:eastAsia="zh-CN"/>
              </w:rPr>
              <w:t>2</w:t>
            </w:r>
            <w:r>
              <w:rPr>
                <w:rFonts w:hint="default" w:ascii="Times New Roman" w:hAnsi="Times New Roman" w:eastAsia="仿宋_GB2312" w:cs="Times New Roman"/>
                <w:color w:val="000000"/>
                <w:kern w:val="0"/>
                <w:sz w:val="21"/>
                <w:szCs w:val="21"/>
              </w:rPr>
              <w:t>分。</w:t>
            </w:r>
            <w:r>
              <w:rPr>
                <w:rFonts w:hint="default" w:ascii="Times New Roman" w:hAnsi="Times New Roman" w:eastAsia="仿宋_GB2312" w:cs="Times New Roman"/>
                <w:color w:val="000000"/>
                <w:kern w:val="0"/>
                <w:sz w:val="21"/>
                <w:szCs w:val="21"/>
                <w:lang w:eastAsia="zh-CN"/>
              </w:rPr>
              <w:t>如无，则根据实际情况核定分数。</w:t>
            </w:r>
          </w:p>
        </w:tc>
        <w:tc>
          <w:tcPr>
            <w:tcW w:w="698"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42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850"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目标</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设置</w:t>
            </w:r>
          </w:p>
        </w:tc>
        <w:tc>
          <w:tcPr>
            <w:tcW w:w="709"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6</w:t>
            </w:r>
          </w:p>
        </w:tc>
        <w:tc>
          <w:tcPr>
            <w:tcW w:w="13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完整性</w:t>
            </w:r>
          </w:p>
        </w:tc>
        <w:tc>
          <w:tcPr>
            <w:tcW w:w="82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2</w:t>
            </w:r>
          </w:p>
        </w:tc>
        <w:tc>
          <w:tcPr>
            <w:tcW w:w="7440" w:type="dxa"/>
            <w:tcBorders>
              <w:top w:val="nil"/>
              <w:left w:val="nil"/>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依据相关基础信息和证据判断目标设置的完整性，即是否包含总目标和阶段性目标，是否包括预期提供的公共产品或服务的产出数量、质量、成本指标，预期达到的效果性指标，据此核定分数。</w:t>
            </w:r>
          </w:p>
        </w:tc>
        <w:tc>
          <w:tcPr>
            <w:tcW w:w="698"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2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85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709"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13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合理</w:t>
            </w:r>
            <w:r>
              <w:rPr>
                <w:rFonts w:hint="default" w:ascii="Times New Roman" w:hAnsi="Times New Roman" w:eastAsia="仿宋_GB2312" w:cs="Times New Roman"/>
                <w:color w:val="000000"/>
                <w:kern w:val="0"/>
                <w:sz w:val="21"/>
                <w:szCs w:val="21"/>
              </w:rPr>
              <w:t>性</w:t>
            </w:r>
          </w:p>
        </w:tc>
        <w:tc>
          <w:tcPr>
            <w:tcW w:w="82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w:t>
            </w:r>
          </w:p>
        </w:tc>
        <w:tc>
          <w:tcPr>
            <w:tcW w:w="7440" w:type="dxa"/>
            <w:tcBorders>
              <w:top w:val="nil"/>
              <w:left w:val="nil"/>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依据相关基础信息和证据判断目标设置的</w:t>
            </w:r>
            <w:r>
              <w:rPr>
                <w:rFonts w:hint="default" w:ascii="Times New Roman" w:hAnsi="Times New Roman" w:eastAsia="仿宋_GB2312" w:cs="Times New Roman"/>
                <w:color w:val="000000"/>
                <w:kern w:val="0"/>
                <w:sz w:val="21"/>
                <w:szCs w:val="21"/>
                <w:lang w:eastAsia="zh-CN"/>
              </w:rPr>
              <w:t>相关</w:t>
            </w:r>
            <w:r>
              <w:rPr>
                <w:rFonts w:hint="default" w:ascii="Times New Roman" w:hAnsi="Times New Roman" w:eastAsia="仿宋_GB2312" w:cs="Times New Roman"/>
                <w:color w:val="000000"/>
                <w:kern w:val="0"/>
                <w:sz w:val="21"/>
                <w:szCs w:val="21"/>
              </w:rPr>
              <w:t>性，即绩效目标是否与资金或项目属性特点、支出内容相关，体现决策意图，同时合乎客观实际，据此核定分数。</w:t>
            </w:r>
          </w:p>
        </w:tc>
        <w:tc>
          <w:tcPr>
            <w:tcW w:w="698"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42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85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709"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13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可衡量性</w:t>
            </w:r>
          </w:p>
        </w:tc>
        <w:tc>
          <w:tcPr>
            <w:tcW w:w="82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w:t>
            </w:r>
          </w:p>
        </w:tc>
        <w:tc>
          <w:tcPr>
            <w:tcW w:w="7440" w:type="dxa"/>
            <w:tcBorders>
              <w:top w:val="nil"/>
              <w:left w:val="nil"/>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依据相关基础信息和证据判断目标设置的可衡量性，即绩效目标设置是否有数据支撑、是否有可衡量性的</w:t>
            </w:r>
            <w:r>
              <w:rPr>
                <w:rFonts w:hint="default" w:ascii="Times New Roman" w:hAnsi="Times New Roman" w:eastAsia="仿宋_GB2312" w:cs="Times New Roman"/>
                <w:color w:val="000000"/>
                <w:kern w:val="0"/>
                <w:sz w:val="21"/>
                <w:szCs w:val="21"/>
                <w:lang w:eastAsia="zh-CN"/>
              </w:rPr>
              <w:t>产出和效果</w:t>
            </w:r>
            <w:r>
              <w:rPr>
                <w:rFonts w:hint="default" w:ascii="Times New Roman" w:hAnsi="Times New Roman" w:eastAsia="仿宋_GB2312" w:cs="Times New Roman"/>
                <w:color w:val="000000"/>
                <w:kern w:val="0"/>
                <w:sz w:val="21"/>
                <w:szCs w:val="21"/>
              </w:rPr>
              <w:t>指标，据此核定分数。</w:t>
            </w:r>
          </w:p>
        </w:tc>
        <w:tc>
          <w:tcPr>
            <w:tcW w:w="698"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850"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ind w:left="221" w:leftChars="69" w:firstLine="0" w:firstLineChars="0"/>
              <w:jc w:val="both"/>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保障</w:t>
            </w:r>
          </w:p>
          <w:p>
            <w:pPr>
              <w:widowControl/>
              <w:spacing w:line="240" w:lineRule="exact"/>
              <w:ind w:left="221" w:leftChars="69" w:firstLine="0" w:firstLineChars="0"/>
              <w:jc w:val="both"/>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措施</w:t>
            </w:r>
          </w:p>
        </w:tc>
        <w:tc>
          <w:tcPr>
            <w:tcW w:w="709"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2</w:t>
            </w:r>
          </w:p>
        </w:tc>
        <w:tc>
          <w:tcPr>
            <w:tcW w:w="13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val="en-US" w:eastAsia="zh-CN"/>
              </w:rPr>
              <w:t xml:space="preserve"> </w:t>
            </w:r>
            <w:r>
              <w:rPr>
                <w:rFonts w:hint="default" w:ascii="Times New Roman" w:hAnsi="Times New Roman" w:eastAsia="仿宋_GB2312" w:cs="Times New Roman"/>
                <w:color w:val="000000"/>
                <w:kern w:val="0"/>
                <w:sz w:val="21"/>
                <w:szCs w:val="21"/>
              </w:rPr>
              <w:t>制度完整性</w:t>
            </w:r>
          </w:p>
        </w:tc>
        <w:tc>
          <w:tcPr>
            <w:tcW w:w="82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1</w:t>
            </w:r>
          </w:p>
        </w:tc>
        <w:tc>
          <w:tcPr>
            <w:tcW w:w="7440" w:type="dxa"/>
            <w:tcBorders>
              <w:top w:val="nil"/>
              <w:left w:val="nil"/>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eastAsia="zh-CN"/>
              </w:rPr>
              <w:t>依据相关基础信息和证据判断制度完整性和是否具备条件实施，根据实际情况核定分数。</w:t>
            </w:r>
          </w:p>
        </w:tc>
        <w:tc>
          <w:tcPr>
            <w:tcW w:w="698"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2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85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709"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1399" w:type="dxa"/>
            <w:tcBorders>
              <w:top w:val="nil"/>
              <w:left w:val="nil"/>
              <w:bottom w:val="single" w:color="auto" w:sz="4" w:space="0"/>
              <w:right w:val="single" w:color="auto" w:sz="4" w:space="0"/>
              <w:tl2br w:val="nil"/>
              <w:tr2bl w:val="nil"/>
            </w:tcBorders>
            <w:noWrap w:val="0"/>
            <w:vAlign w:val="center"/>
          </w:tcPr>
          <w:p>
            <w:pPr>
              <w:widowControl/>
              <w:spacing w:line="240" w:lineRule="exact"/>
              <w:ind w:left="431" w:leftChars="69" w:hanging="210" w:hangingChars="100"/>
              <w:jc w:val="both"/>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eastAsia="zh-CN"/>
              </w:rPr>
              <w:t>计划安排合理性</w:t>
            </w:r>
          </w:p>
        </w:tc>
        <w:tc>
          <w:tcPr>
            <w:tcW w:w="82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1</w:t>
            </w:r>
          </w:p>
        </w:tc>
        <w:tc>
          <w:tcPr>
            <w:tcW w:w="7440" w:type="dxa"/>
            <w:tcBorders>
              <w:top w:val="nil"/>
              <w:left w:val="nil"/>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eastAsia="zh-CN"/>
              </w:rPr>
              <w:t>依据工作进度计划等相关基础信息和证据判断，并根据实际情况核定分数。</w:t>
            </w:r>
          </w:p>
        </w:tc>
        <w:tc>
          <w:tcPr>
            <w:tcW w:w="698"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2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资金落实</w:t>
            </w:r>
          </w:p>
        </w:tc>
        <w:tc>
          <w:tcPr>
            <w:tcW w:w="580"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8</w:t>
            </w:r>
          </w:p>
        </w:tc>
        <w:tc>
          <w:tcPr>
            <w:tcW w:w="850"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资金</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到位</w:t>
            </w:r>
          </w:p>
        </w:tc>
        <w:tc>
          <w:tcPr>
            <w:tcW w:w="709"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13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资金到位率</w:t>
            </w:r>
          </w:p>
        </w:tc>
        <w:tc>
          <w:tcPr>
            <w:tcW w:w="82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w:t>
            </w:r>
          </w:p>
        </w:tc>
        <w:tc>
          <w:tcPr>
            <w:tcW w:w="7440" w:type="dxa"/>
            <w:tcBorders>
              <w:top w:val="nil"/>
              <w:left w:val="nil"/>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1.各类来源的资金足额到位的，得3分；</w:t>
            </w:r>
            <w:r>
              <w:rPr>
                <w:rFonts w:hint="default" w:ascii="Times New Roman" w:hAnsi="Times New Roman" w:eastAsia="仿宋_GB2312" w:cs="Times New Roman"/>
                <w:color w:val="000000"/>
                <w:kern w:val="0"/>
                <w:sz w:val="21"/>
                <w:szCs w:val="21"/>
              </w:rPr>
              <w:br w:type="textWrapping"/>
            </w:r>
            <w:r>
              <w:rPr>
                <w:rFonts w:hint="default" w:ascii="Times New Roman" w:hAnsi="Times New Roman" w:eastAsia="仿宋_GB2312" w:cs="Times New Roman"/>
                <w:color w:val="000000"/>
                <w:kern w:val="0"/>
                <w:sz w:val="21"/>
                <w:szCs w:val="21"/>
              </w:rPr>
              <w:t>2.各类来源的资金未足额到位的，按实际到位金额/应到位金额*指标分值</w:t>
            </w:r>
          </w:p>
        </w:tc>
        <w:tc>
          <w:tcPr>
            <w:tcW w:w="698"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85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709"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13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资金到位及时性</w:t>
            </w:r>
          </w:p>
        </w:tc>
        <w:tc>
          <w:tcPr>
            <w:tcW w:w="82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w:t>
            </w:r>
          </w:p>
        </w:tc>
        <w:tc>
          <w:tcPr>
            <w:tcW w:w="7440" w:type="dxa"/>
            <w:tcBorders>
              <w:top w:val="nil"/>
              <w:left w:val="nil"/>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1.各类来源的资金及时到位的，得2分；</w:t>
            </w:r>
            <w:r>
              <w:rPr>
                <w:rFonts w:hint="default" w:ascii="Times New Roman" w:hAnsi="Times New Roman" w:eastAsia="仿宋_GB2312" w:cs="Times New Roman"/>
                <w:color w:val="000000"/>
                <w:kern w:val="0"/>
                <w:sz w:val="21"/>
                <w:szCs w:val="21"/>
              </w:rPr>
              <w:br w:type="textWrapping"/>
            </w:r>
            <w:r>
              <w:rPr>
                <w:rFonts w:hint="default" w:ascii="Times New Roman" w:hAnsi="Times New Roman" w:eastAsia="仿宋_GB2312" w:cs="Times New Roman"/>
                <w:color w:val="000000"/>
                <w:kern w:val="0"/>
                <w:sz w:val="21"/>
                <w:szCs w:val="21"/>
              </w:rPr>
              <w:t>2.各类来源的资金未及时到位的，按实际及时到位的金额/应及时到位的金额*指标分值</w:t>
            </w:r>
          </w:p>
        </w:tc>
        <w:tc>
          <w:tcPr>
            <w:tcW w:w="698"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42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850"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资金</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分配</w:t>
            </w:r>
          </w:p>
        </w:tc>
        <w:tc>
          <w:tcPr>
            <w:tcW w:w="70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3</w:t>
            </w:r>
          </w:p>
        </w:tc>
        <w:tc>
          <w:tcPr>
            <w:tcW w:w="13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资金分配合理性</w:t>
            </w:r>
          </w:p>
        </w:tc>
        <w:tc>
          <w:tcPr>
            <w:tcW w:w="82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3</w:t>
            </w:r>
          </w:p>
        </w:tc>
        <w:tc>
          <w:tcPr>
            <w:tcW w:w="7440" w:type="dxa"/>
            <w:tcBorders>
              <w:top w:val="nil"/>
              <w:left w:val="nil"/>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依据相关信息和证据判断资金分配是否合理，是否有助于实现资金的</w:t>
            </w:r>
            <w:r>
              <w:rPr>
                <w:rFonts w:hint="default" w:ascii="Times New Roman" w:hAnsi="Times New Roman" w:eastAsia="仿宋_GB2312" w:cs="Times New Roman"/>
                <w:color w:val="000000"/>
                <w:kern w:val="0"/>
                <w:sz w:val="21"/>
                <w:szCs w:val="21"/>
                <w:lang w:eastAsia="zh-CN"/>
              </w:rPr>
              <w:t>绩效</w:t>
            </w:r>
            <w:r>
              <w:rPr>
                <w:rFonts w:hint="default" w:ascii="Times New Roman" w:hAnsi="Times New Roman" w:eastAsia="仿宋_GB2312" w:cs="Times New Roman"/>
                <w:color w:val="000000"/>
                <w:kern w:val="0"/>
                <w:sz w:val="21"/>
                <w:szCs w:val="21"/>
              </w:rPr>
              <w:t>目标。</w:t>
            </w:r>
          </w:p>
        </w:tc>
        <w:tc>
          <w:tcPr>
            <w:tcW w:w="698"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过程</w:t>
            </w:r>
          </w:p>
        </w:tc>
        <w:tc>
          <w:tcPr>
            <w:tcW w:w="58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20</w:t>
            </w:r>
          </w:p>
        </w:tc>
        <w:tc>
          <w:tcPr>
            <w:tcW w:w="38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资金管理</w:t>
            </w:r>
          </w:p>
        </w:tc>
        <w:tc>
          <w:tcPr>
            <w:tcW w:w="58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12</w:t>
            </w:r>
          </w:p>
        </w:tc>
        <w:tc>
          <w:tcPr>
            <w:tcW w:w="850"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资金</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支付</w:t>
            </w:r>
          </w:p>
        </w:tc>
        <w:tc>
          <w:tcPr>
            <w:tcW w:w="709"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6</w:t>
            </w:r>
          </w:p>
        </w:tc>
        <w:tc>
          <w:tcPr>
            <w:tcW w:w="1399"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资金</w:t>
            </w:r>
            <w:r>
              <w:rPr>
                <w:rFonts w:hint="default" w:ascii="Times New Roman" w:hAnsi="Times New Roman" w:eastAsia="仿宋_GB2312" w:cs="Times New Roman"/>
                <w:color w:val="000000"/>
                <w:kern w:val="0"/>
                <w:sz w:val="21"/>
                <w:szCs w:val="21"/>
              </w:rPr>
              <w:t>支出率</w:t>
            </w:r>
          </w:p>
        </w:tc>
        <w:tc>
          <w:tcPr>
            <w:tcW w:w="821"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6</w:t>
            </w:r>
          </w:p>
        </w:tc>
        <w:tc>
          <w:tcPr>
            <w:tcW w:w="7440"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主要依据“支付额/预算额度*100*指标权重”计算核定得分，同时综合考虑工作进度，以及是否垫资或履行支付手续而影响支出率等因素适当调整最后得分。</w:t>
            </w:r>
          </w:p>
        </w:tc>
        <w:tc>
          <w:tcPr>
            <w:tcW w:w="69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4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850"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支出规范性</w:t>
            </w:r>
          </w:p>
        </w:tc>
        <w:tc>
          <w:tcPr>
            <w:tcW w:w="709"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6</w:t>
            </w:r>
          </w:p>
        </w:tc>
        <w:tc>
          <w:tcPr>
            <w:tcW w:w="1399"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支出规范性</w:t>
            </w:r>
          </w:p>
        </w:tc>
        <w:tc>
          <w:tcPr>
            <w:tcW w:w="821"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6</w:t>
            </w:r>
          </w:p>
        </w:tc>
        <w:tc>
          <w:tcPr>
            <w:tcW w:w="7440"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1.预算执行规范性2分，按规定履行调整报批手续或未发生调整的，且按事项完成进度支付资金的得满分，否则酌情扣分。2.事项支出的合规性</w:t>
            </w:r>
            <w:r>
              <w:rPr>
                <w:rFonts w:hint="default" w:ascii="Times New Roman" w:hAnsi="Times New Roman" w:eastAsia="仿宋_GB2312" w:cs="Times New Roman"/>
                <w:color w:val="000000"/>
                <w:kern w:val="0"/>
                <w:sz w:val="21"/>
                <w:szCs w:val="21"/>
                <w:lang w:val="en-US" w:eastAsia="zh-CN"/>
              </w:rPr>
              <w:t>2</w:t>
            </w:r>
            <w:r>
              <w:rPr>
                <w:rFonts w:hint="default" w:ascii="Times New Roman" w:hAnsi="Times New Roman" w:eastAsia="仿宋_GB2312" w:cs="Times New Roman"/>
                <w:color w:val="000000"/>
                <w:kern w:val="0"/>
                <w:sz w:val="21"/>
                <w:szCs w:val="21"/>
              </w:rPr>
              <w:t>分，资金管理、费用标准、支付符合有关制度规定的得满分，超范围、超标准支出，虚列支出，截留、挤占、挪用资金的，以及其他不符合制度规定支出的，视情节严重情况扣分，直至扣到0分。3.会计核算规范性2分，规范执行会计核算制度得满分，未按规定设专账核算，或支出凭证不符合规定，或其他核算不规范的，视具体情况扣分。</w:t>
            </w:r>
          </w:p>
        </w:tc>
        <w:tc>
          <w:tcPr>
            <w:tcW w:w="69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4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事项管理</w:t>
            </w:r>
          </w:p>
        </w:tc>
        <w:tc>
          <w:tcPr>
            <w:tcW w:w="58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8</w:t>
            </w:r>
          </w:p>
        </w:tc>
        <w:tc>
          <w:tcPr>
            <w:tcW w:w="850"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实施</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程序</w:t>
            </w:r>
          </w:p>
        </w:tc>
        <w:tc>
          <w:tcPr>
            <w:tcW w:w="709"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4</w:t>
            </w:r>
          </w:p>
        </w:tc>
        <w:tc>
          <w:tcPr>
            <w:tcW w:w="1399"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程序规范性</w:t>
            </w:r>
          </w:p>
        </w:tc>
        <w:tc>
          <w:tcPr>
            <w:tcW w:w="821"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4</w:t>
            </w:r>
          </w:p>
        </w:tc>
        <w:tc>
          <w:tcPr>
            <w:tcW w:w="7440"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项目或方案按规定程序实施,包括项目或方案调整按规定履行报批手续，项目招投标、建设、验收等或方案实施严格执行相关制度规定的，得满分，否则酌情扣分。</w:t>
            </w:r>
          </w:p>
        </w:tc>
        <w:tc>
          <w:tcPr>
            <w:tcW w:w="69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42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850"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管理</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情况</w:t>
            </w:r>
          </w:p>
        </w:tc>
        <w:tc>
          <w:tcPr>
            <w:tcW w:w="70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4</w:t>
            </w:r>
          </w:p>
        </w:tc>
        <w:tc>
          <w:tcPr>
            <w:tcW w:w="13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监管有效性</w:t>
            </w:r>
          </w:p>
        </w:tc>
        <w:tc>
          <w:tcPr>
            <w:tcW w:w="82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4</w:t>
            </w:r>
          </w:p>
        </w:tc>
        <w:tc>
          <w:tcPr>
            <w:tcW w:w="7440" w:type="dxa"/>
            <w:tcBorders>
              <w:top w:val="nil"/>
              <w:left w:val="nil"/>
              <w:bottom w:val="single" w:color="auto" w:sz="4" w:space="0"/>
              <w:right w:val="single" w:color="auto" w:sz="4" w:space="0"/>
              <w:tl2br w:val="nil"/>
              <w:tr2bl w:val="nil"/>
            </w:tcBorders>
            <w:noWrap w:val="0"/>
            <w:vAlign w:val="center"/>
          </w:tcPr>
          <w:p>
            <w:pPr>
              <w:widowControl/>
              <w:numPr>
                <w:ilvl w:val="0"/>
                <w:numId w:val="0"/>
              </w:numPr>
              <w:spacing w:line="24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val="en-US" w:eastAsia="zh-CN"/>
              </w:rPr>
              <w:t>1.</w:t>
            </w:r>
            <w:r>
              <w:rPr>
                <w:rFonts w:hint="default" w:ascii="Times New Roman" w:hAnsi="Times New Roman" w:eastAsia="仿宋_GB2312" w:cs="Times New Roman"/>
                <w:color w:val="000000"/>
                <w:kern w:val="0"/>
                <w:sz w:val="21"/>
                <w:szCs w:val="21"/>
              </w:rPr>
              <w:t>资金使用单位或基层资金管理单位建立有效管理机制，且执行情况良好得2分，具体根据所提供的信息证据作出判断并核定分数。</w:t>
            </w:r>
          </w:p>
          <w:p>
            <w:pPr>
              <w:widowControl/>
              <w:numPr>
                <w:ilvl w:val="0"/>
                <w:numId w:val="0"/>
              </w:numPr>
              <w:spacing w:line="24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2.具体根据所提供的信息证据作出判断，如各级业务主管部门按规定对项目建设或方案实施开展有效的检查、监控、督促整改的，得</w:t>
            </w:r>
            <w:r>
              <w:rPr>
                <w:rFonts w:hint="default" w:ascii="Times New Roman" w:hAnsi="Times New Roman" w:eastAsia="仿宋_GB2312" w:cs="Times New Roman"/>
                <w:color w:val="000000"/>
                <w:kern w:val="0"/>
                <w:sz w:val="21"/>
                <w:szCs w:val="21"/>
                <w:lang w:val="en-US" w:eastAsia="zh-CN"/>
              </w:rPr>
              <w:t>2</w:t>
            </w:r>
            <w:r>
              <w:rPr>
                <w:rFonts w:hint="default" w:ascii="Times New Roman" w:hAnsi="Times New Roman" w:eastAsia="仿宋_GB2312" w:cs="Times New Roman"/>
                <w:color w:val="000000"/>
                <w:kern w:val="0"/>
                <w:sz w:val="21"/>
                <w:szCs w:val="21"/>
              </w:rPr>
              <w:t>分；否则，视情况扣分。</w:t>
            </w:r>
          </w:p>
        </w:tc>
        <w:tc>
          <w:tcPr>
            <w:tcW w:w="698" w:type="dxa"/>
            <w:tcBorders>
              <w:top w:val="nil"/>
              <w:left w:val="single" w:color="auto" w:sz="4" w:space="0"/>
              <w:bottom w:val="single" w:color="auto" w:sz="4" w:space="0"/>
              <w:right w:val="single" w:color="auto" w:sz="4" w:space="0"/>
              <w:tl2br w:val="nil"/>
              <w:tr2bl w:val="nil"/>
            </w:tcBorders>
            <w:noWrap w:val="0"/>
            <w:vAlign w:val="center"/>
          </w:tcPr>
          <w:p>
            <w:pPr>
              <w:widowControl/>
              <w:numPr>
                <w:ilvl w:val="0"/>
                <w:numId w:val="0"/>
              </w:numPr>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42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产出</w:t>
            </w:r>
          </w:p>
        </w:tc>
        <w:tc>
          <w:tcPr>
            <w:tcW w:w="58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30</w:t>
            </w:r>
          </w:p>
        </w:tc>
        <w:tc>
          <w:tcPr>
            <w:tcW w:w="382" w:type="dxa"/>
            <w:vMerge w:val="restart"/>
            <w:tcBorders>
              <w:top w:val="single" w:color="auto" w:sz="4" w:space="0"/>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经济性</w:t>
            </w:r>
          </w:p>
        </w:tc>
        <w:tc>
          <w:tcPr>
            <w:tcW w:w="580" w:type="dxa"/>
            <w:vMerge w:val="restart"/>
            <w:tcBorders>
              <w:top w:val="single" w:color="auto" w:sz="4" w:space="0"/>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850"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预算</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控制</w:t>
            </w:r>
          </w:p>
        </w:tc>
        <w:tc>
          <w:tcPr>
            <w:tcW w:w="709"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3</w:t>
            </w:r>
          </w:p>
        </w:tc>
        <w:tc>
          <w:tcPr>
            <w:tcW w:w="1399"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eastAsia="zh-CN"/>
              </w:rPr>
              <w:t>预算</w:t>
            </w:r>
            <w:r>
              <w:rPr>
                <w:rFonts w:hint="default" w:ascii="Times New Roman" w:hAnsi="Times New Roman" w:eastAsia="仿宋_GB2312" w:cs="Times New Roman"/>
                <w:color w:val="000000"/>
                <w:kern w:val="0"/>
                <w:sz w:val="21"/>
                <w:szCs w:val="21"/>
              </w:rPr>
              <w:t>控制</w:t>
            </w:r>
          </w:p>
        </w:tc>
        <w:tc>
          <w:tcPr>
            <w:tcW w:w="821"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val="en-US" w:eastAsia="zh-CN"/>
              </w:rPr>
              <w:t>3</w:t>
            </w:r>
          </w:p>
        </w:tc>
        <w:tc>
          <w:tcPr>
            <w:tcW w:w="7440" w:type="dxa"/>
            <w:tcBorders>
              <w:top w:val="single" w:color="auto" w:sz="4" w:space="0"/>
              <w:left w:val="nil"/>
              <w:bottom w:val="single" w:color="auto" w:sz="4" w:space="0"/>
              <w:right w:val="single" w:color="auto" w:sz="4" w:space="0"/>
              <w:tl2br w:val="nil"/>
              <w:tr2bl w:val="nil"/>
            </w:tcBorders>
            <w:noWrap w:val="0"/>
            <w:vAlign w:val="center"/>
          </w:tcPr>
          <w:p>
            <w:pPr>
              <w:widowControl/>
              <w:numPr>
                <w:ilvl w:val="0"/>
                <w:numId w:val="0"/>
              </w:numPr>
              <w:spacing w:line="24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在预算执行进度与事项完成进度基本匹配的前提下，</w:t>
            </w:r>
            <w:r>
              <w:rPr>
                <w:rFonts w:hint="default" w:ascii="Times New Roman" w:hAnsi="Times New Roman" w:eastAsia="仿宋_GB2312" w:cs="Times New Roman"/>
                <w:color w:val="000000"/>
                <w:kern w:val="0"/>
                <w:sz w:val="21"/>
                <w:szCs w:val="21"/>
                <w:lang w:eastAsia="zh-CN"/>
              </w:rPr>
              <w:t>实际支出</w:t>
            </w:r>
            <w:r>
              <w:rPr>
                <w:rFonts w:hint="default" w:ascii="Times New Roman" w:hAnsi="Times New Roman" w:eastAsia="仿宋_GB2312" w:cs="Times New Roman"/>
                <w:color w:val="000000"/>
                <w:kern w:val="0"/>
                <w:sz w:val="21"/>
                <w:szCs w:val="21"/>
              </w:rPr>
              <w:t>未超过预算</w:t>
            </w:r>
            <w:r>
              <w:rPr>
                <w:rFonts w:hint="default" w:ascii="Times New Roman" w:hAnsi="Times New Roman" w:eastAsia="仿宋_GB2312" w:cs="Times New Roman"/>
                <w:color w:val="000000"/>
                <w:kern w:val="0"/>
                <w:sz w:val="21"/>
                <w:szCs w:val="21"/>
                <w:lang w:eastAsia="zh-CN"/>
              </w:rPr>
              <w:t>计划</w:t>
            </w:r>
            <w:r>
              <w:rPr>
                <w:rFonts w:hint="default" w:ascii="Times New Roman" w:hAnsi="Times New Roman" w:eastAsia="仿宋_GB2312" w:cs="Times New Roman"/>
                <w:color w:val="000000"/>
                <w:kern w:val="0"/>
                <w:sz w:val="21"/>
                <w:szCs w:val="21"/>
              </w:rPr>
              <w:t>的，得满分</w:t>
            </w:r>
            <w:r>
              <w:rPr>
                <w:rFonts w:hint="default" w:ascii="Times New Roman" w:hAnsi="Times New Roman" w:eastAsia="仿宋_GB2312" w:cs="Times New Roman"/>
                <w:color w:val="000000"/>
                <w:kern w:val="0"/>
                <w:sz w:val="21"/>
                <w:szCs w:val="21"/>
                <w:lang w:eastAsia="zh-CN"/>
              </w:rPr>
              <w:t>；实际</w:t>
            </w:r>
            <w:r>
              <w:rPr>
                <w:rFonts w:hint="default" w:ascii="Times New Roman" w:hAnsi="Times New Roman" w:eastAsia="仿宋_GB2312" w:cs="Times New Roman"/>
                <w:color w:val="000000"/>
                <w:kern w:val="0"/>
                <w:sz w:val="21"/>
                <w:szCs w:val="21"/>
              </w:rPr>
              <w:t>支出超过预算的，或者支出未能保障事项相应完成进度的，酌情扣分。</w:t>
            </w:r>
          </w:p>
        </w:tc>
        <w:tc>
          <w:tcPr>
            <w:tcW w:w="69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numPr>
                <w:ilvl w:val="0"/>
                <w:numId w:val="0"/>
              </w:numPr>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580"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p>
        </w:tc>
        <w:tc>
          <w:tcPr>
            <w:tcW w:w="850"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成本</w:t>
            </w:r>
          </w:p>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eastAsia="zh-CN"/>
              </w:rPr>
              <w:t>控制</w:t>
            </w:r>
          </w:p>
        </w:tc>
        <w:tc>
          <w:tcPr>
            <w:tcW w:w="709"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w:t>
            </w:r>
          </w:p>
        </w:tc>
        <w:tc>
          <w:tcPr>
            <w:tcW w:w="1399"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both"/>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 xml:space="preserve">  成本节约</w:t>
            </w:r>
          </w:p>
        </w:tc>
        <w:tc>
          <w:tcPr>
            <w:tcW w:w="821"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w:t>
            </w:r>
          </w:p>
        </w:tc>
        <w:tc>
          <w:tcPr>
            <w:tcW w:w="7440" w:type="dxa"/>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在项目按照预算完成的前提下，与同类项目或市场价格比较，项目实施的成本（包括工程造价、物品采购单价、人员经费等）属于合理范围的（如与同类项目或市场价格大致相符的）得满分；成本不合理的（如明显高于或低于同类项目或市场价格的）酌情扣分。</w:t>
            </w:r>
          </w:p>
        </w:tc>
        <w:tc>
          <w:tcPr>
            <w:tcW w:w="69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效率性</w:t>
            </w:r>
          </w:p>
        </w:tc>
        <w:tc>
          <w:tcPr>
            <w:tcW w:w="58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2</w:t>
            </w:r>
            <w:r>
              <w:rPr>
                <w:rFonts w:hint="default" w:ascii="Times New Roman" w:hAnsi="Times New Roman" w:eastAsia="仿宋_GB2312" w:cs="Times New Roman"/>
                <w:color w:val="000000"/>
                <w:kern w:val="0"/>
                <w:sz w:val="21"/>
                <w:szCs w:val="21"/>
                <w:lang w:val="en-US" w:eastAsia="zh-CN"/>
              </w:rPr>
              <w:t>5</w:t>
            </w:r>
          </w:p>
        </w:tc>
        <w:tc>
          <w:tcPr>
            <w:tcW w:w="850" w:type="dxa"/>
            <w:vMerge w:val="restart"/>
            <w:tcBorders>
              <w:top w:val="single" w:color="auto" w:sz="4" w:space="0"/>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完成</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进度</w:t>
            </w:r>
          </w:p>
        </w:tc>
        <w:tc>
          <w:tcPr>
            <w:tcW w:w="709" w:type="dxa"/>
            <w:vMerge w:val="restart"/>
            <w:tcBorders>
              <w:top w:val="single" w:color="auto" w:sz="4" w:space="0"/>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25</w:t>
            </w:r>
          </w:p>
        </w:tc>
        <w:tc>
          <w:tcPr>
            <w:tcW w:w="139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sz w:val="21"/>
                <w:szCs w:val="21"/>
              </w:rPr>
              <w:t>百名首席专家下基层计划补助资金省级财政拨付率</w:t>
            </w:r>
            <w:r>
              <w:rPr>
                <w:rFonts w:hint="default" w:ascii="Times New Roman" w:hAnsi="Times New Roman" w:eastAsia="仿宋_GB2312" w:cs="Times New Roman"/>
                <w:color w:val="000000"/>
                <w:sz w:val="21"/>
                <w:szCs w:val="21"/>
                <w:lang w:val="en-US" w:eastAsia="zh-CN"/>
              </w:rPr>
              <w:t>100%。</w:t>
            </w:r>
          </w:p>
        </w:tc>
        <w:tc>
          <w:tcPr>
            <w:tcW w:w="821" w:type="dxa"/>
            <w:vMerge w:val="restart"/>
            <w:tcBorders>
              <w:top w:val="single" w:color="auto" w:sz="4" w:space="0"/>
              <w:left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25</w:t>
            </w:r>
          </w:p>
        </w:tc>
        <w:tc>
          <w:tcPr>
            <w:tcW w:w="7440" w:type="dxa"/>
            <w:vMerge w:val="restart"/>
            <w:tcBorders>
              <w:top w:val="single" w:color="auto" w:sz="4" w:space="0"/>
              <w:left w:val="nil"/>
              <w:right w:val="single" w:color="auto" w:sz="4" w:space="0"/>
              <w:tl2br w:val="nil"/>
              <w:tr2bl w:val="nil"/>
            </w:tcBorders>
            <w:noWrap w:val="0"/>
            <w:vAlign w:val="center"/>
          </w:tcPr>
          <w:p>
            <w:pPr>
              <w:widowControl/>
              <w:spacing w:line="240" w:lineRule="exact"/>
              <w:ind w:firstLine="210" w:firstLineChars="100"/>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根据评价对象设置指标名称和分数权重，包括完成及时性、实际完成情况、质量达标情况等。</w:t>
            </w:r>
          </w:p>
        </w:tc>
        <w:tc>
          <w:tcPr>
            <w:tcW w:w="698" w:type="dxa"/>
            <w:vMerge w:val="restart"/>
            <w:tcBorders>
              <w:top w:val="single" w:color="auto" w:sz="4" w:space="0"/>
              <w:left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580"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850"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709" w:type="dxa"/>
            <w:vMerge w:val="continue"/>
            <w:tcBorders>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p>
        </w:tc>
        <w:tc>
          <w:tcPr>
            <w:tcW w:w="139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sz w:val="21"/>
                <w:szCs w:val="21"/>
              </w:rPr>
              <w:t>千名高校毕业生下基层计划补助资金省级财政拨付率</w:t>
            </w:r>
            <w:r>
              <w:rPr>
                <w:rFonts w:hint="default" w:ascii="Times New Roman" w:hAnsi="Times New Roman" w:eastAsia="仿宋_GB2312" w:cs="Times New Roman"/>
                <w:color w:val="000000"/>
                <w:sz w:val="21"/>
                <w:szCs w:val="21"/>
                <w:lang w:val="en-US" w:eastAsia="zh-CN"/>
              </w:rPr>
              <w:t>100%</w:t>
            </w:r>
          </w:p>
        </w:tc>
        <w:tc>
          <w:tcPr>
            <w:tcW w:w="821" w:type="dxa"/>
            <w:vMerge w:val="continue"/>
            <w:tcBorders>
              <w:left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val="en-US" w:eastAsia="zh-CN"/>
              </w:rPr>
            </w:pPr>
          </w:p>
        </w:tc>
        <w:tc>
          <w:tcPr>
            <w:tcW w:w="7440" w:type="dxa"/>
            <w:vMerge w:val="continue"/>
            <w:tcBorders>
              <w:left w:val="nil"/>
              <w:right w:val="single" w:color="auto" w:sz="4" w:space="0"/>
              <w:tl2br w:val="nil"/>
              <w:tr2bl w:val="nil"/>
            </w:tcBorders>
            <w:noWrap w:val="0"/>
            <w:vAlign w:val="center"/>
          </w:tcPr>
          <w:p>
            <w:pPr>
              <w:widowControl/>
              <w:spacing w:line="240" w:lineRule="exact"/>
              <w:ind w:firstLine="210" w:firstLineChars="100"/>
              <w:rPr>
                <w:rFonts w:hint="default" w:ascii="Times New Roman" w:hAnsi="Times New Roman" w:eastAsia="仿宋_GB2312" w:cs="Times New Roman"/>
                <w:color w:val="000000"/>
                <w:kern w:val="0"/>
                <w:sz w:val="21"/>
                <w:szCs w:val="21"/>
                <w:lang w:val="en-US" w:eastAsia="zh-CN"/>
              </w:rPr>
            </w:pPr>
          </w:p>
        </w:tc>
        <w:tc>
          <w:tcPr>
            <w:tcW w:w="698" w:type="dxa"/>
            <w:vMerge w:val="continue"/>
            <w:tcBorders>
              <w:left w:val="single" w:color="auto" w:sz="4" w:space="0"/>
              <w:right w:val="single" w:color="auto" w:sz="4" w:space="0"/>
              <w:tl2br w:val="nil"/>
              <w:tr2bl w:val="nil"/>
            </w:tcBorders>
            <w:noWrap w:val="0"/>
            <w:vAlign w:val="center"/>
          </w:tcPr>
          <w:p>
            <w:pPr>
              <w:widowControl/>
              <w:spacing w:line="240" w:lineRule="exact"/>
              <w:ind w:firstLine="210" w:firstLineChars="100"/>
              <w:rPr>
                <w:rFonts w:hint="default" w:ascii="Times New Roman" w:hAnsi="Times New Roman" w:eastAsia="仿宋_GB2312" w:cs="Times New Roman"/>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4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580"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850"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709" w:type="dxa"/>
            <w:vMerge w:val="continue"/>
            <w:tcBorders>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p>
        </w:tc>
        <w:tc>
          <w:tcPr>
            <w:tcW w:w="139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sz w:val="21"/>
                <w:szCs w:val="21"/>
              </w:rPr>
              <w:t>专科特设岗位专家招聘到位率</w:t>
            </w:r>
            <w:r>
              <w:rPr>
                <w:rFonts w:hint="default" w:ascii="Times New Roman" w:hAnsi="Times New Roman" w:eastAsia="仿宋_GB2312" w:cs="Times New Roman"/>
                <w:color w:val="000000"/>
                <w:sz w:val="21"/>
                <w:szCs w:val="21"/>
                <w:lang w:val="en-US" w:eastAsia="zh-CN"/>
              </w:rPr>
              <w:t>100%</w:t>
            </w:r>
          </w:p>
        </w:tc>
        <w:tc>
          <w:tcPr>
            <w:tcW w:w="821" w:type="dxa"/>
            <w:vMerge w:val="continue"/>
            <w:tcBorders>
              <w:left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val="en-US" w:eastAsia="zh-CN"/>
              </w:rPr>
            </w:pPr>
          </w:p>
        </w:tc>
        <w:tc>
          <w:tcPr>
            <w:tcW w:w="7440" w:type="dxa"/>
            <w:vMerge w:val="continue"/>
            <w:tcBorders>
              <w:left w:val="nil"/>
              <w:right w:val="single" w:color="auto" w:sz="4" w:space="0"/>
              <w:tl2br w:val="nil"/>
              <w:tr2bl w:val="nil"/>
            </w:tcBorders>
            <w:noWrap w:val="0"/>
            <w:vAlign w:val="center"/>
          </w:tcPr>
          <w:p>
            <w:pPr>
              <w:widowControl/>
              <w:spacing w:line="240" w:lineRule="exact"/>
              <w:ind w:firstLine="210" w:firstLineChars="100"/>
              <w:rPr>
                <w:rFonts w:hint="default" w:ascii="Times New Roman" w:hAnsi="Times New Roman" w:eastAsia="仿宋_GB2312" w:cs="Times New Roman"/>
                <w:color w:val="000000"/>
                <w:kern w:val="0"/>
                <w:sz w:val="21"/>
                <w:szCs w:val="21"/>
                <w:lang w:val="en-US" w:eastAsia="zh-CN"/>
              </w:rPr>
            </w:pPr>
          </w:p>
        </w:tc>
        <w:tc>
          <w:tcPr>
            <w:tcW w:w="698" w:type="dxa"/>
            <w:vMerge w:val="continue"/>
            <w:tcBorders>
              <w:left w:val="single" w:color="auto" w:sz="4" w:space="0"/>
              <w:right w:val="single" w:color="auto" w:sz="4" w:space="0"/>
              <w:tl2br w:val="nil"/>
              <w:tr2bl w:val="nil"/>
            </w:tcBorders>
            <w:noWrap w:val="0"/>
            <w:vAlign w:val="center"/>
          </w:tcPr>
          <w:p>
            <w:pPr>
              <w:widowControl/>
              <w:spacing w:line="240" w:lineRule="exact"/>
              <w:ind w:firstLine="210" w:firstLineChars="100"/>
              <w:rPr>
                <w:rFonts w:hint="default" w:ascii="Times New Roman" w:hAnsi="Times New Roman" w:eastAsia="仿宋_GB2312" w:cs="Times New Roman"/>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4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580"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850"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709" w:type="dxa"/>
            <w:vMerge w:val="continue"/>
            <w:tcBorders>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p>
        </w:tc>
        <w:tc>
          <w:tcPr>
            <w:tcW w:w="139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项目招生完成率11</w:t>
            </w:r>
            <w:r>
              <w:rPr>
                <w:rFonts w:hint="eastAsia" w:ascii="Times New Roman" w:hAnsi="Times New Roman" w:eastAsia="仿宋_GB2312" w:cs="Times New Roman"/>
                <w:i w:val="0"/>
                <w:color w:val="000000"/>
                <w:kern w:val="0"/>
                <w:sz w:val="21"/>
                <w:szCs w:val="21"/>
                <w:u w:val="none"/>
                <w:lang w:val="en-US" w:eastAsia="zh-CN" w:bidi="ar"/>
              </w:rPr>
              <w:t>6</w:t>
            </w:r>
            <w:r>
              <w:rPr>
                <w:rFonts w:hint="default" w:ascii="Times New Roman" w:hAnsi="Times New Roman" w:eastAsia="仿宋_GB2312" w:cs="Times New Roman"/>
                <w:i w:val="0"/>
                <w:color w:val="000000"/>
                <w:kern w:val="0"/>
                <w:sz w:val="21"/>
                <w:szCs w:val="21"/>
                <w:u w:val="none"/>
                <w:lang w:val="en-US" w:eastAsia="zh-CN" w:bidi="ar"/>
              </w:rPr>
              <w:t>.</w:t>
            </w:r>
            <w:r>
              <w:rPr>
                <w:rFonts w:hint="eastAsia" w:ascii="Times New Roman" w:hAnsi="Times New Roman" w:eastAsia="仿宋_GB2312" w:cs="Times New Roman"/>
                <w:i w:val="0"/>
                <w:color w:val="000000"/>
                <w:kern w:val="0"/>
                <w:sz w:val="21"/>
                <w:szCs w:val="21"/>
                <w:u w:val="none"/>
                <w:lang w:val="en-US" w:eastAsia="zh-CN" w:bidi="ar"/>
              </w:rPr>
              <w:t>79</w:t>
            </w:r>
            <w:r>
              <w:rPr>
                <w:rFonts w:hint="default" w:ascii="Times New Roman" w:hAnsi="Times New Roman" w:eastAsia="仿宋_GB2312" w:cs="Times New Roman"/>
                <w:i w:val="0"/>
                <w:color w:val="000000"/>
                <w:kern w:val="0"/>
                <w:sz w:val="21"/>
                <w:szCs w:val="21"/>
                <w:u w:val="none"/>
                <w:lang w:val="en-US" w:eastAsia="zh-CN" w:bidi="ar"/>
              </w:rPr>
              <w:t>%</w:t>
            </w:r>
          </w:p>
        </w:tc>
        <w:tc>
          <w:tcPr>
            <w:tcW w:w="821" w:type="dxa"/>
            <w:vMerge w:val="continue"/>
            <w:tcBorders>
              <w:left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val="en-US" w:eastAsia="zh-CN"/>
              </w:rPr>
            </w:pPr>
          </w:p>
        </w:tc>
        <w:tc>
          <w:tcPr>
            <w:tcW w:w="7440" w:type="dxa"/>
            <w:vMerge w:val="continue"/>
            <w:tcBorders>
              <w:left w:val="nil"/>
              <w:right w:val="single" w:color="auto" w:sz="4" w:space="0"/>
              <w:tl2br w:val="nil"/>
              <w:tr2bl w:val="nil"/>
            </w:tcBorders>
            <w:noWrap w:val="0"/>
            <w:vAlign w:val="center"/>
          </w:tcPr>
          <w:p>
            <w:pPr>
              <w:widowControl/>
              <w:spacing w:line="240" w:lineRule="exact"/>
              <w:ind w:firstLine="210" w:firstLineChars="100"/>
              <w:rPr>
                <w:rFonts w:hint="default" w:ascii="Times New Roman" w:hAnsi="Times New Roman" w:eastAsia="仿宋_GB2312" w:cs="Times New Roman"/>
                <w:color w:val="000000"/>
                <w:kern w:val="0"/>
                <w:sz w:val="21"/>
                <w:szCs w:val="21"/>
                <w:lang w:val="en-US" w:eastAsia="zh-CN"/>
              </w:rPr>
            </w:pPr>
          </w:p>
        </w:tc>
        <w:tc>
          <w:tcPr>
            <w:tcW w:w="698" w:type="dxa"/>
            <w:vMerge w:val="continue"/>
            <w:tcBorders>
              <w:left w:val="single" w:color="auto" w:sz="4" w:space="0"/>
              <w:right w:val="single" w:color="auto" w:sz="4" w:space="0"/>
              <w:tl2br w:val="nil"/>
              <w:tr2bl w:val="nil"/>
            </w:tcBorders>
            <w:noWrap w:val="0"/>
            <w:vAlign w:val="center"/>
          </w:tcPr>
          <w:p>
            <w:pPr>
              <w:widowControl/>
              <w:spacing w:line="240" w:lineRule="exact"/>
              <w:ind w:firstLine="210" w:firstLineChars="100"/>
              <w:rPr>
                <w:rFonts w:hint="default" w:ascii="Times New Roman" w:hAnsi="Times New Roman" w:eastAsia="仿宋_GB2312" w:cs="Times New Roman"/>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4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580"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850"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709" w:type="dxa"/>
            <w:vMerge w:val="continue"/>
            <w:tcBorders>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p>
        </w:tc>
        <w:tc>
          <w:tcPr>
            <w:tcW w:w="139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sz w:val="21"/>
                <w:szCs w:val="21"/>
              </w:rPr>
              <w:t>设备交付率</w:t>
            </w:r>
            <w:r>
              <w:rPr>
                <w:rFonts w:hint="default" w:ascii="Times New Roman" w:hAnsi="Times New Roman" w:eastAsia="仿宋_GB2312" w:cs="Times New Roman"/>
                <w:color w:val="000000"/>
                <w:sz w:val="21"/>
                <w:szCs w:val="21"/>
                <w:lang w:val="en-US" w:eastAsia="zh-CN"/>
              </w:rPr>
              <w:t>100%。</w:t>
            </w:r>
          </w:p>
        </w:tc>
        <w:tc>
          <w:tcPr>
            <w:tcW w:w="821" w:type="dxa"/>
            <w:vMerge w:val="continue"/>
            <w:tcBorders>
              <w:left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val="en-US" w:eastAsia="zh-CN"/>
              </w:rPr>
            </w:pPr>
          </w:p>
        </w:tc>
        <w:tc>
          <w:tcPr>
            <w:tcW w:w="7440" w:type="dxa"/>
            <w:vMerge w:val="continue"/>
            <w:tcBorders>
              <w:left w:val="nil"/>
              <w:right w:val="single" w:color="auto" w:sz="4" w:space="0"/>
              <w:tl2br w:val="nil"/>
              <w:tr2bl w:val="nil"/>
            </w:tcBorders>
            <w:noWrap w:val="0"/>
            <w:vAlign w:val="center"/>
          </w:tcPr>
          <w:p>
            <w:pPr>
              <w:widowControl/>
              <w:spacing w:line="240" w:lineRule="exact"/>
              <w:ind w:firstLine="210" w:firstLineChars="100"/>
              <w:rPr>
                <w:rFonts w:hint="default" w:ascii="Times New Roman" w:hAnsi="Times New Roman" w:eastAsia="仿宋_GB2312" w:cs="Times New Roman"/>
                <w:color w:val="000000"/>
                <w:kern w:val="0"/>
                <w:sz w:val="21"/>
                <w:szCs w:val="21"/>
                <w:lang w:val="en-US" w:eastAsia="zh-CN"/>
              </w:rPr>
            </w:pPr>
          </w:p>
        </w:tc>
        <w:tc>
          <w:tcPr>
            <w:tcW w:w="698" w:type="dxa"/>
            <w:vMerge w:val="continue"/>
            <w:tcBorders>
              <w:left w:val="single" w:color="auto" w:sz="4" w:space="0"/>
              <w:right w:val="single" w:color="auto" w:sz="4" w:space="0"/>
              <w:tl2br w:val="nil"/>
              <w:tr2bl w:val="nil"/>
            </w:tcBorders>
            <w:noWrap w:val="0"/>
            <w:vAlign w:val="center"/>
          </w:tcPr>
          <w:p>
            <w:pPr>
              <w:widowControl/>
              <w:spacing w:line="240" w:lineRule="exact"/>
              <w:ind w:firstLine="210" w:firstLineChars="100"/>
              <w:rPr>
                <w:rFonts w:hint="default" w:ascii="Times New Roman" w:hAnsi="Times New Roman" w:eastAsia="仿宋_GB2312" w:cs="Times New Roman"/>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4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850" w:type="dxa"/>
            <w:vMerge w:val="restart"/>
            <w:tcBorders>
              <w:top w:val="single" w:color="auto" w:sz="4" w:space="0"/>
              <w:left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完成</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质量</w:t>
            </w:r>
          </w:p>
        </w:tc>
        <w:tc>
          <w:tcPr>
            <w:tcW w:w="709"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139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i w:val="0"/>
                <w:color w:val="000000"/>
                <w:kern w:val="0"/>
                <w:sz w:val="21"/>
                <w:szCs w:val="21"/>
                <w:u w:val="none"/>
                <w:lang w:val="en-US" w:eastAsia="zh-CN" w:bidi="ar"/>
              </w:rPr>
              <w:t>项目培训合格率97.14%</w:t>
            </w:r>
          </w:p>
        </w:tc>
        <w:tc>
          <w:tcPr>
            <w:tcW w:w="821" w:type="dxa"/>
            <w:vMerge w:val="continue"/>
            <w:tcBorders>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val="en-US" w:eastAsia="zh-CN"/>
              </w:rPr>
            </w:pPr>
          </w:p>
        </w:tc>
        <w:tc>
          <w:tcPr>
            <w:tcW w:w="7440" w:type="dxa"/>
            <w:vMerge w:val="continue"/>
            <w:tcBorders>
              <w:left w:val="nil"/>
              <w:bottom w:val="single" w:color="auto" w:sz="4" w:space="0"/>
              <w:right w:val="single" w:color="auto" w:sz="4" w:space="0"/>
              <w:tl2br w:val="nil"/>
              <w:tr2bl w:val="nil"/>
            </w:tcBorders>
            <w:noWrap w:val="0"/>
            <w:vAlign w:val="center"/>
          </w:tcPr>
          <w:p>
            <w:pPr>
              <w:widowControl/>
              <w:spacing w:line="240" w:lineRule="exact"/>
              <w:ind w:firstLine="210" w:firstLineChars="100"/>
              <w:rPr>
                <w:rFonts w:hint="default" w:ascii="Times New Roman" w:hAnsi="Times New Roman" w:eastAsia="仿宋_GB2312" w:cs="Times New Roman"/>
                <w:color w:val="000000"/>
                <w:kern w:val="0"/>
                <w:sz w:val="21"/>
                <w:szCs w:val="21"/>
                <w:lang w:val="en-US" w:eastAsia="zh-CN"/>
              </w:rPr>
            </w:pPr>
          </w:p>
        </w:tc>
        <w:tc>
          <w:tcPr>
            <w:tcW w:w="698"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ind w:firstLine="210" w:firstLineChars="100"/>
              <w:rPr>
                <w:rFonts w:hint="default" w:ascii="Times New Roman" w:hAnsi="Times New Roman" w:eastAsia="仿宋_GB2312" w:cs="Times New Roman"/>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423"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0"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850"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709"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139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rPr>
              <w:t>系统验收合格率</w:t>
            </w:r>
            <w:r>
              <w:rPr>
                <w:rFonts w:hint="default" w:ascii="Times New Roman" w:hAnsi="Times New Roman" w:eastAsia="仿宋_GB2312" w:cs="Times New Roman"/>
                <w:color w:val="000000"/>
                <w:sz w:val="21"/>
                <w:szCs w:val="21"/>
                <w:lang w:val="en-US" w:eastAsia="zh-CN"/>
              </w:rPr>
              <w:t>100%</w:t>
            </w:r>
          </w:p>
        </w:tc>
        <w:tc>
          <w:tcPr>
            <w:tcW w:w="821" w:type="dxa"/>
            <w:vMerge w:val="continue"/>
            <w:tcBorders>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val="en-US" w:eastAsia="zh-CN"/>
              </w:rPr>
            </w:pPr>
          </w:p>
        </w:tc>
        <w:tc>
          <w:tcPr>
            <w:tcW w:w="7440" w:type="dxa"/>
            <w:vMerge w:val="continue"/>
            <w:tcBorders>
              <w:left w:val="nil"/>
              <w:bottom w:val="single" w:color="auto" w:sz="4" w:space="0"/>
              <w:right w:val="single" w:color="auto" w:sz="4" w:space="0"/>
              <w:tl2br w:val="nil"/>
              <w:tr2bl w:val="nil"/>
            </w:tcBorders>
            <w:noWrap w:val="0"/>
            <w:vAlign w:val="center"/>
          </w:tcPr>
          <w:p>
            <w:pPr>
              <w:widowControl/>
              <w:spacing w:line="240" w:lineRule="exact"/>
              <w:ind w:firstLine="210" w:firstLineChars="100"/>
              <w:rPr>
                <w:rFonts w:hint="default" w:ascii="Times New Roman" w:hAnsi="Times New Roman" w:eastAsia="仿宋_GB2312" w:cs="Times New Roman"/>
                <w:color w:val="000000"/>
                <w:kern w:val="0"/>
                <w:sz w:val="21"/>
                <w:szCs w:val="21"/>
                <w:lang w:val="en-US" w:eastAsia="zh-CN"/>
              </w:rPr>
            </w:pPr>
          </w:p>
        </w:tc>
        <w:tc>
          <w:tcPr>
            <w:tcW w:w="698"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ind w:firstLine="210" w:firstLineChars="100"/>
              <w:rPr>
                <w:rFonts w:hint="default" w:ascii="Times New Roman" w:hAnsi="Times New Roman" w:eastAsia="仿宋_GB2312" w:cs="Times New Roman"/>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23"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效益</w:t>
            </w:r>
          </w:p>
        </w:tc>
        <w:tc>
          <w:tcPr>
            <w:tcW w:w="586"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30</w:t>
            </w:r>
          </w:p>
        </w:tc>
        <w:tc>
          <w:tcPr>
            <w:tcW w:w="382"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效果性</w:t>
            </w:r>
          </w:p>
        </w:tc>
        <w:tc>
          <w:tcPr>
            <w:tcW w:w="580"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25</w:t>
            </w:r>
          </w:p>
        </w:tc>
        <w:tc>
          <w:tcPr>
            <w:tcW w:w="850" w:type="dxa"/>
            <w:vMerge w:val="restart"/>
            <w:tcBorders>
              <w:top w:val="nil"/>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经济</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效益</w:t>
            </w:r>
          </w:p>
        </w:tc>
        <w:tc>
          <w:tcPr>
            <w:tcW w:w="709" w:type="dxa"/>
            <w:vMerge w:val="restart"/>
            <w:tcBorders>
              <w:top w:val="nil"/>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25</w:t>
            </w:r>
          </w:p>
        </w:tc>
        <w:tc>
          <w:tcPr>
            <w:tcW w:w="1399" w:type="dxa"/>
            <w:tcBorders>
              <w:top w:val="nil"/>
              <w:left w:val="nil"/>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sz w:val="21"/>
                <w:szCs w:val="21"/>
              </w:rPr>
              <w:t>县域内住院率</w:t>
            </w:r>
            <w:r>
              <w:rPr>
                <w:rFonts w:hint="default" w:ascii="Times New Roman" w:hAnsi="Times New Roman" w:eastAsia="仿宋_GB2312" w:cs="Times New Roman"/>
                <w:color w:val="000000"/>
                <w:sz w:val="21"/>
                <w:szCs w:val="21"/>
                <w:lang w:val="en-US" w:eastAsia="zh-CN"/>
              </w:rPr>
              <w:t>＞84%</w:t>
            </w:r>
          </w:p>
        </w:tc>
        <w:tc>
          <w:tcPr>
            <w:tcW w:w="821" w:type="dxa"/>
            <w:vMerge w:val="restart"/>
            <w:tcBorders>
              <w:top w:val="nil"/>
              <w:left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25</w:t>
            </w:r>
          </w:p>
        </w:tc>
        <w:tc>
          <w:tcPr>
            <w:tcW w:w="7440" w:type="dxa"/>
            <w:vMerge w:val="restart"/>
            <w:tcBorders>
              <w:top w:val="nil"/>
              <w:left w:val="nil"/>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 xml:space="preserve">  根据评价对象选择效果性指标，并相应设置指标名称和分数权重。</w:t>
            </w:r>
          </w:p>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 xml:space="preserve">  </w:t>
            </w:r>
          </w:p>
        </w:tc>
        <w:tc>
          <w:tcPr>
            <w:tcW w:w="698" w:type="dxa"/>
            <w:vMerge w:val="restart"/>
            <w:tcBorders>
              <w:top w:val="nil"/>
              <w:left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23"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586"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p>
        </w:tc>
        <w:tc>
          <w:tcPr>
            <w:tcW w:w="382"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580"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p>
        </w:tc>
        <w:tc>
          <w:tcPr>
            <w:tcW w:w="850"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709" w:type="dxa"/>
            <w:vMerge w:val="continue"/>
            <w:tcBorders>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p>
        </w:tc>
        <w:tc>
          <w:tcPr>
            <w:tcW w:w="1399" w:type="dxa"/>
            <w:vMerge w:val="restart"/>
            <w:tcBorders>
              <w:left w:val="nil"/>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sz w:val="21"/>
                <w:szCs w:val="21"/>
              </w:rPr>
              <w:t>系统正常运行率</w:t>
            </w:r>
            <w:r>
              <w:rPr>
                <w:rFonts w:hint="default" w:ascii="Times New Roman" w:hAnsi="Times New Roman" w:eastAsia="仿宋_GB2312" w:cs="Times New Roman"/>
                <w:color w:val="000000"/>
                <w:sz w:val="21"/>
                <w:szCs w:val="21"/>
                <w:lang w:val="en-US" w:eastAsia="zh-CN"/>
              </w:rPr>
              <w:t>100%</w:t>
            </w:r>
          </w:p>
        </w:tc>
        <w:tc>
          <w:tcPr>
            <w:tcW w:w="821" w:type="dxa"/>
            <w:vMerge w:val="continue"/>
            <w:tcBorders>
              <w:left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val="en-US" w:eastAsia="zh-CN"/>
              </w:rPr>
            </w:pPr>
          </w:p>
        </w:tc>
        <w:tc>
          <w:tcPr>
            <w:tcW w:w="7440" w:type="dxa"/>
            <w:vMerge w:val="continue"/>
            <w:tcBorders>
              <w:left w:val="nil"/>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p>
        </w:tc>
        <w:tc>
          <w:tcPr>
            <w:tcW w:w="698" w:type="dxa"/>
            <w:vMerge w:val="continue"/>
            <w:tcBorders>
              <w:left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2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850"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社会</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效益</w:t>
            </w:r>
          </w:p>
        </w:tc>
        <w:tc>
          <w:tcPr>
            <w:tcW w:w="709" w:type="dxa"/>
            <w:vMerge w:val="continue"/>
            <w:tcBorders>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1399" w:type="dxa"/>
            <w:vMerge w:val="continue"/>
            <w:tcBorders>
              <w:left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rPr>
            </w:pPr>
          </w:p>
        </w:tc>
        <w:tc>
          <w:tcPr>
            <w:tcW w:w="821" w:type="dxa"/>
            <w:vMerge w:val="continue"/>
            <w:tcBorders>
              <w:left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val="en-US" w:eastAsia="zh-CN"/>
              </w:rPr>
            </w:pPr>
          </w:p>
        </w:tc>
        <w:tc>
          <w:tcPr>
            <w:tcW w:w="7440" w:type="dxa"/>
            <w:vMerge w:val="continue"/>
            <w:tcBorders>
              <w:left w:val="nil"/>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p>
        </w:tc>
        <w:tc>
          <w:tcPr>
            <w:tcW w:w="698" w:type="dxa"/>
            <w:vMerge w:val="continue"/>
            <w:tcBorders>
              <w:left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2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850"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eastAsia="zh-CN"/>
              </w:rPr>
              <w:t>生态</w:t>
            </w:r>
          </w:p>
          <w:p>
            <w:pPr>
              <w:widowControl/>
              <w:spacing w:line="240" w:lineRule="exac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eastAsia="zh-CN"/>
              </w:rPr>
              <w:t>效益</w:t>
            </w:r>
          </w:p>
        </w:tc>
        <w:tc>
          <w:tcPr>
            <w:tcW w:w="709" w:type="dxa"/>
            <w:vMerge w:val="continue"/>
            <w:tcBorders>
              <w:left w:val="nil"/>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p>
        </w:tc>
        <w:tc>
          <w:tcPr>
            <w:tcW w:w="1399" w:type="dxa"/>
            <w:tcBorders>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rPr>
              <w:t>设备采购经济性</w:t>
            </w:r>
            <w:r>
              <w:rPr>
                <w:rFonts w:hint="default" w:ascii="Times New Roman" w:hAnsi="Times New Roman" w:eastAsia="仿宋_GB2312" w:cs="Times New Roman"/>
                <w:color w:val="000000"/>
                <w:sz w:val="21"/>
                <w:szCs w:val="21"/>
                <w:lang w:val="en-US" w:eastAsia="zh-CN"/>
              </w:rPr>
              <w:t>100%</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eastAsia="zh-CN"/>
              </w:rPr>
            </w:pPr>
          </w:p>
        </w:tc>
        <w:tc>
          <w:tcPr>
            <w:tcW w:w="821" w:type="dxa"/>
            <w:vMerge w:val="continue"/>
            <w:tcBorders>
              <w:left w:val="nil"/>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val="en-US" w:eastAsia="zh-CN"/>
              </w:rPr>
            </w:pPr>
          </w:p>
        </w:tc>
        <w:tc>
          <w:tcPr>
            <w:tcW w:w="7440" w:type="dxa"/>
            <w:vMerge w:val="continue"/>
            <w:tcBorders>
              <w:left w:val="nil"/>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p>
        </w:tc>
        <w:tc>
          <w:tcPr>
            <w:tcW w:w="698"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2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850"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可持续发展</w:t>
            </w:r>
          </w:p>
        </w:tc>
        <w:tc>
          <w:tcPr>
            <w:tcW w:w="709" w:type="dxa"/>
            <w:vMerge w:val="continue"/>
            <w:tcBorders>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p>
        </w:tc>
        <w:tc>
          <w:tcPr>
            <w:tcW w:w="139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可持续发展</w:t>
            </w:r>
          </w:p>
        </w:tc>
        <w:tc>
          <w:tcPr>
            <w:tcW w:w="821" w:type="dxa"/>
            <w:vMerge w:val="continue"/>
            <w:tcBorders>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val="en-US" w:eastAsia="zh-CN"/>
              </w:rPr>
            </w:pPr>
          </w:p>
        </w:tc>
        <w:tc>
          <w:tcPr>
            <w:tcW w:w="7440"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根据评价对象设置指标名称和分数权重。</w:t>
            </w:r>
          </w:p>
        </w:tc>
        <w:tc>
          <w:tcPr>
            <w:tcW w:w="698"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rPr>
                <w:rFonts w:hint="default" w:ascii="Times New Roman" w:hAnsi="Times New Roman" w:eastAsia="仿宋_GB2312" w:cs="Times New Roman"/>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2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58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rPr>
            </w:pPr>
          </w:p>
        </w:tc>
        <w:tc>
          <w:tcPr>
            <w:tcW w:w="38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公平性</w:t>
            </w:r>
          </w:p>
        </w:tc>
        <w:tc>
          <w:tcPr>
            <w:tcW w:w="580"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850"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满意度</w:t>
            </w:r>
          </w:p>
        </w:tc>
        <w:tc>
          <w:tcPr>
            <w:tcW w:w="70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139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eastAsia="zh-CN"/>
              </w:rPr>
              <w:t>服务对象</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满意度</w:t>
            </w:r>
          </w:p>
        </w:tc>
        <w:tc>
          <w:tcPr>
            <w:tcW w:w="82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5</w:t>
            </w:r>
          </w:p>
        </w:tc>
        <w:tc>
          <w:tcPr>
            <w:tcW w:w="7440" w:type="dxa"/>
            <w:tcBorders>
              <w:top w:val="nil"/>
              <w:left w:val="nil"/>
              <w:bottom w:val="single" w:color="auto" w:sz="4" w:space="0"/>
              <w:right w:val="single" w:color="auto" w:sz="4" w:space="0"/>
              <w:tl2br w:val="nil"/>
              <w:tr2bl w:val="nil"/>
            </w:tcBorders>
            <w:noWrap w:val="0"/>
            <w:vAlign w:val="center"/>
          </w:tcPr>
          <w:p>
            <w:pPr>
              <w:widowControl/>
              <w:spacing w:line="240" w:lineRule="exact"/>
              <w:ind w:firstLine="210" w:firstLineChars="10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表示满意的</w:t>
            </w:r>
            <w:r>
              <w:rPr>
                <w:rFonts w:hint="default" w:ascii="Times New Roman" w:hAnsi="Times New Roman" w:eastAsia="仿宋_GB2312" w:cs="Times New Roman"/>
                <w:color w:val="000000"/>
                <w:kern w:val="0"/>
                <w:sz w:val="21"/>
                <w:szCs w:val="21"/>
                <w:lang w:eastAsia="zh-CN"/>
              </w:rPr>
              <w:t>服务对象</w:t>
            </w:r>
            <w:r>
              <w:rPr>
                <w:rFonts w:hint="default" w:ascii="Times New Roman" w:hAnsi="Times New Roman" w:eastAsia="仿宋_GB2312" w:cs="Times New Roman"/>
                <w:color w:val="000000"/>
                <w:kern w:val="0"/>
                <w:sz w:val="21"/>
                <w:szCs w:val="21"/>
              </w:rPr>
              <w:t>数/项目覆盖范围内接受调查的</w:t>
            </w:r>
            <w:r>
              <w:rPr>
                <w:rFonts w:hint="default" w:ascii="Times New Roman" w:hAnsi="Times New Roman" w:eastAsia="仿宋_GB2312" w:cs="Times New Roman"/>
                <w:color w:val="000000"/>
                <w:kern w:val="0"/>
                <w:sz w:val="21"/>
                <w:szCs w:val="21"/>
                <w:lang w:eastAsia="zh-CN"/>
              </w:rPr>
              <w:t>对象</w:t>
            </w:r>
            <w:r>
              <w:rPr>
                <w:rFonts w:hint="default" w:ascii="Times New Roman" w:hAnsi="Times New Roman" w:eastAsia="仿宋_GB2312" w:cs="Times New Roman"/>
                <w:color w:val="000000"/>
                <w:kern w:val="0"/>
                <w:sz w:val="21"/>
                <w:szCs w:val="21"/>
              </w:rPr>
              <w:t>总数*指标分值</w:t>
            </w:r>
          </w:p>
        </w:tc>
        <w:tc>
          <w:tcPr>
            <w:tcW w:w="698"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ind w:firstLine="210" w:firstLineChars="100"/>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5</w:t>
            </w:r>
          </w:p>
        </w:tc>
      </w:tr>
    </w:tbl>
    <w:p>
      <w:pPr>
        <w:widowControl/>
        <w:spacing w:line="560" w:lineRule="exact"/>
        <w:jc w:val="left"/>
        <w:rPr>
          <w:rFonts w:hint="default" w:ascii="Times New Roman" w:hAnsi="Times New Roman" w:eastAsia="仿宋_GB2312" w:cs="Times New Roman"/>
          <w:color w:val="000000"/>
          <w:kern w:val="0"/>
          <w:szCs w:val="21"/>
          <w:lang w:bidi="ar"/>
        </w:rPr>
      </w:pPr>
    </w:p>
    <w:p>
      <w:pPr>
        <w:pStyle w:val="2"/>
        <w:rPr>
          <w:rFonts w:hint="default" w:ascii="Times New Roman" w:hAnsi="Times New Roman" w:eastAsia="仿宋_GB2312" w:cs="Times New Roman"/>
          <w:color w:val="000000"/>
          <w:kern w:val="0"/>
          <w:szCs w:val="21"/>
          <w:lang w:bidi="ar"/>
        </w:rPr>
      </w:pPr>
    </w:p>
    <w:p>
      <w:pPr>
        <w:pStyle w:val="2"/>
        <w:rPr>
          <w:rFonts w:hint="default" w:ascii="Times New Roman" w:hAnsi="Times New Roman" w:eastAsia="仿宋_GB2312" w:cs="Times New Roman"/>
          <w:color w:val="000000"/>
          <w:kern w:val="0"/>
          <w:szCs w:val="21"/>
          <w:lang w:bidi="ar"/>
        </w:rPr>
      </w:pPr>
    </w:p>
    <w:p>
      <w:pPr>
        <w:pStyle w:val="2"/>
        <w:rPr>
          <w:rFonts w:hint="default" w:ascii="Times New Roman" w:hAnsi="Times New Roman" w:eastAsia="仿宋_GB2312" w:cs="Times New Roman"/>
          <w:color w:val="000000"/>
          <w:kern w:val="0"/>
          <w:szCs w:val="21"/>
          <w:lang w:bidi="ar"/>
        </w:rPr>
      </w:pPr>
    </w:p>
    <w:p>
      <w:pPr>
        <w:pStyle w:val="2"/>
        <w:rPr>
          <w:rFonts w:hint="default" w:ascii="Times New Roman" w:hAnsi="Times New Roman" w:eastAsia="仿宋_GB2312" w:cs="Times New Roman"/>
          <w:color w:val="000000"/>
          <w:kern w:val="0"/>
          <w:szCs w:val="21"/>
          <w:lang w:bidi="ar"/>
        </w:rPr>
      </w:pPr>
    </w:p>
    <w:p>
      <w:pPr>
        <w:pStyle w:val="2"/>
        <w:rPr>
          <w:rFonts w:hint="default" w:ascii="Times New Roman" w:hAnsi="Times New Roman" w:eastAsia="仿宋_GB2312" w:cs="Times New Roman"/>
          <w:color w:val="000000"/>
          <w:kern w:val="0"/>
          <w:szCs w:val="21"/>
          <w:lang w:bidi="ar"/>
        </w:rPr>
      </w:pPr>
    </w:p>
    <w:p>
      <w:pPr>
        <w:pStyle w:val="2"/>
        <w:rPr>
          <w:rFonts w:hint="default" w:ascii="Times New Roman" w:hAnsi="Times New Roman" w:eastAsia="仿宋_GB2312" w:cs="Times New Roman"/>
          <w:color w:val="000000"/>
          <w:kern w:val="0"/>
          <w:szCs w:val="21"/>
          <w:lang w:bidi="ar"/>
        </w:rPr>
      </w:pPr>
    </w:p>
    <w:p>
      <w:pPr>
        <w:pStyle w:val="2"/>
        <w:rPr>
          <w:rFonts w:hint="default" w:ascii="Times New Roman" w:hAnsi="Times New Roman" w:eastAsia="仿宋_GB2312" w:cs="Times New Roman"/>
          <w:color w:val="000000"/>
          <w:kern w:val="0"/>
          <w:szCs w:val="21"/>
          <w:lang w:bidi="ar"/>
        </w:rPr>
      </w:pPr>
    </w:p>
    <w:p>
      <w:pPr>
        <w:pStyle w:val="2"/>
        <w:rPr>
          <w:rFonts w:hint="default" w:ascii="Times New Roman" w:hAnsi="Times New Roman" w:eastAsia="仿宋_GB2312" w:cs="Times New Roman"/>
          <w:color w:val="000000"/>
          <w:kern w:val="0"/>
          <w:szCs w:val="21"/>
          <w:lang w:bidi="ar"/>
        </w:rPr>
      </w:pPr>
    </w:p>
    <w:p>
      <w:pPr>
        <w:pStyle w:val="2"/>
        <w:rPr>
          <w:rFonts w:hint="default" w:ascii="Times New Roman" w:hAnsi="Times New Roman" w:eastAsia="仿宋_GB2312" w:cs="Times New Roman"/>
          <w:color w:val="000000"/>
          <w:kern w:val="0"/>
          <w:szCs w:val="21"/>
          <w:lang w:bidi="ar"/>
        </w:rPr>
      </w:pPr>
    </w:p>
    <w:p>
      <w:pPr>
        <w:pStyle w:val="2"/>
        <w:rPr>
          <w:rFonts w:hint="default" w:ascii="Times New Roman" w:hAnsi="Times New Roman" w:eastAsia="仿宋_GB2312" w:cs="Times New Roman"/>
          <w:color w:val="000000"/>
          <w:kern w:val="0"/>
          <w:szCs w:val="21"/>
          <w:lang w:bidi="ar"/>
        </w:rPr>
      </w:pPr>
    </w:p>
    <w:p>
      <w:pPr>
        <w:widowControl/>
        <w:spacing w:line="560" w:lineRule="exact"/>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附件</w:t>
      </w:r>
      <w:r>
        <w:rPr>
          <w:rFonts w:hint="default" w:ascii="Times New Roman" w:hAnsi="Times New Roman" w:eastAsia="仿宋_GB2312" w:cs="Times New Roman"/>
          <w:color w:val="000000"/>
          <w:kern w:val="0"/>
          <w:sz w:val="32"/>
          <w:szCs w:val="32"/>
          <w:lang w:bidi="ar"/>
        </w:rPr>
        <w:t>3</w:t>
      </w:r>
    </w:p>
    <w:p>
      <w:pPr>
        <w:widowControl/>
        <w:spacing w:line="560" w:lineRule="exact"/>
        <w:jc w:val="center"/>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bCs/>
          <w:color w:val="000000"/>
          <w:sz w:val="44"/>
          <w:szCs w:val="44"/>
        </w:rPr>
        <w:t>佐证材料递交清单表</w:t>
      </w:r>
    </w:p>
    <w:tbl>
      <w:tblPr>
        <w:tblStyle w:val="5"/>
        <w:tblW w:w="0" w:type="auto"/>
        <w:jc w:val="center"/>
        <w:tblLayout w:type="fixed"/>
        <w:tblCellMar>
          <w:top w:w="0" w:type="dxa"/>
          <w:left w:w="108" w:type="dxa"/>
          <w:bottom w:w="0" w:type="dxa"/>
          <w:right w:w="108" w:type="dxa"/>
        </w:tblCellMar>
      </w:tblPr>
      <w:tblGrid>
        <w:gridCol w:w="768"/>
        <w:gridCol w:w="1669"/>
        <w:gridCol w:w="1395"/>
        <w:gridCol w:w="9213"/>
        <w:gridCol w:w="1129"/>
      </w:tblGrid>
      <w:tr>
        <w:tblPrEx>
          <w:tblCellMar>
            <w:top w:w="0" w:type="dxa"/>
            <w:left w:w="108" w:type="dxa"/>
            <w:bottom w:w="0" w:type="dxa"/>
            <w:right w:w="108" w:type="dxa"/>
          </w:tblCellMar>
        </w:tblPrEx>
        <w:trPr>
          <w:trHeight w:val="413"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color w:val="000000"/>
                <w:sz w:val="24"/>
                <w:szCs w:val="24"/>
              </w:rPr>
            </w:pPr>
            <w:r>
              <w:rPr>
                <w:rFonts w:hint="default" w:ascii="Times New Roman" w:hAnsi="Times New Roman" w:eastAsia="黑体" w:cs="Times New Roman"/>
                <w:b w:val="0"/>
                <w:bCs w:val="0"/>
                <w:color w:val="000000"/>
                <w:sz w:val="24"/>
                <w:szCs w:val="24"/>
              </w:rPr>
              <w:t>类别</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color w:val="000000"/>
                <w:sz w:val="24"/>
                <w:szCs w:val="24"/>
              </w:rPr>
            </w:pPr>
            <w:r>
              <w:rPr>
                <w:rFonts w:hint="default" w:ascii="Times New Roman" w:hAnsi="Times New Roman" w:eastAsia="黑体" w:cs="Times New Roman"/>
                <w:b w:val="0"/>
                <w:bCs w:val="0"/>
                <w:color w:val="000000"/>
                <w:sz w:val="24"/>
                <w:szCs w:val="24"/>
              </w:rPr>
              <w:t>佐证材料类型</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color w:val="000000"/>
                <w:sz w:val="24"/>
                <w:szCs w:val="24"/>
              </w:rPr>
            </w:pPr>
            <w:r>
              <w:rPr>
                <w:rFonts w:hint="default" w:ascii="Times New Roman" w:hAnsi="Times New Roman" w:eastAsia="黑体" w:cs="Times New Roman"/>
                <w:b w:val="0"/>
                <w:bCs w:val="0"/>
                <w:color w:val="000000"/>
                <w:sz w:val="24"/>
                <w:szCs w:val="24"/>
              </w:rPr>
              <w:t>材料编号</w:t>
            </w:r>
          </w:p>
        </w:tc>
        <w:tc>
          <w:tcPr>
            <w:tcW w:w="921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color w:val="000000"/>
                <w:sz w:val="24"/>
                <w:szCs w:val="24"/>
              </w:rPr>
            </w:pPr>
            <w:r>
              <w:rPr>
                <w:rFonts w:hint="default" w:ascii="Times New Roman" w:hAnsi="Times New Roman" w:eastAsia="黑体" w:cs="Times New Roman"/>
                <w:b w:val="0"/>
                <w:bCs w:val="0"/>
                <w:color w:val="000000"/>
                <w:sz w:val="24"/>
                <w:szCs w:val="24"/>
              </w:rPr>
              <w:t>佐证材料名称及文号</w:t>
            </w:r>
          </w:p>
        </w:tc>
        <w:tc>
          <w:tcPr>
            <w:tcW w:w="112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黑体" w:cs="Times New Roman"/>
                <w:b w:val="0"/>
                <w:bCs w:val="0"/>
                <w:color w:val="000000"/>
                <w:sz w:val="24"/>
                <w:szCs w:val="24"/>
              </w:rPr>
            </w:pPr>
            <w:r>
              <w:rPr>
                <w:rFonts w:hint="default" w:ascii="Times New Roman" w:hAnsi="Times New Roman" w:eastAsia="黑体" w:cs="Times New Roman"/>
                <w:b w:val="0"/>
                <w:bCs w:val="0"/>
                <w:color w:val="000000"/>
                <w:sz w:val="24"/>
                <w:szCs w:val="24"/>
              </w:rPr>
              <w:t>备注</w:t>
            </w:r>
          </w:p>
        </w:tc>
      </w:tr>
      <w:tr>
        <w:tblPrEx>
          <w:tblCellMar>
            <w:top w:w="0" w:type="dxa"/>
            <w:left w:w="108" w:type="dxa"/>
            <w:bottom w:w="0" w:type="dxa"/>
            <w:right w:w="108" w:type="dxa"/>
          </w:tblCellMar>
        </w:tblPrEx>
        <w:trPr>
          <w:trHeight w:val="410" w:hRule="atLeast"/>
          <w:jc w:val="center"/>
        </w:trPr>
        <w:tc>
          <w:tcPr>
            <w:tcW w:w="76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绩效目标类</w:t>
            </w:r>
          </w:p>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default" w:ascii="Times New Roman" w:hAnsi="Times New Roman" w:eastAsia="仿宋_GB2312" w:cs="Times New Roman"/>
                <w:color w:val="000000"/>
                <w:sz w:val="24"/>
                <w:szCs w:val="24"/>
              </w:rPr>
            </w:pPr>
          </w:p>
        </w:tc>
        <w:tc>
          <w:tcPr>
            <w:tcW w:w="166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部门职能文件、预算申报文件、资金申报文件、年度计划等。</w:t>
            </w:r>
          </w:p>
        </w:tc>
        <w:tc>
          <w:tcPr>
            <w:tcW w:w="13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1001</w:t>
            </w:r>
          </w:p>
        </w:tc>
        <w:tc>
          <w:tcPr>
            <w:tcW w:w="92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《关于安排2019年省级医疗卫生健康事业发展专项资金（第一批）的通知（粤财社〔2019〕42号）》</w:t>
            </w:r>
          </w:p>
        </w:tc>
        <w:tc>
          <w:tcPr>
            <w:tcW w:w="112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95" w:hRule="atLeast"/>
          <w:jc w:val="center"/>
        </w:trPr>
        <w:tc>
          <w:tcPr>
            <w:tcW w:w="76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default" w:ascii="Times New Roman" w:hAnsi="Times New Roman" w:eastAsia="仿宋_GB2312" w:cs="Times New Roman"/>
                <w:color w:val="000000"/>
                <w:sz w:val="24"/>
                <w:szCs w:val="24"/>
              </w:rPr>
            </w:pPr>
          </w:p>
        </w:tc>
        <w:tc>
          <w:tcPr>
            <w:tcW w:w="13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1002</w:t>
            </w:r>
          </w:p>
        </w:tc>
        <w:tc>
          <w:tcPr>
            <w:tcW w:w="92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bidi="ar"/>
              </w:rPr>
              <w:t>《广东省卫生计生委 广东省扶贫办 广东省人力资源社会保障厅 广东省民政厅 广东省财政厅  广东省残联 广东省中医药局关于印发广东省健康扶贫三年行动计划（2018-2020年）的通知（粤卫</w:t>
            </w:r>
            <w:r>
              <w:rPr>
                <w:rFonts w:hint="default" w:ascii="Times New Roman" w:hAnsi="Times New Roman" w:eastAsia="仿宋_GB2312" w:cs="Times New Roman"/>
                <w:color w:val="000000"/>
                <w:kern w:val="0"/>
                <w:sz w:val="24"/>
                <w:szCs w:val="24"/>
                <w:lang w:bidi="ar"/>
              </w:rPr>
              <w:t>〔20</w:t>
            </w:r>
            <w:r>
              <w:rPr>
                <w:rFonts w:hint="default" w:ascii="Times New Roman" w:hAnsi="Times New Roman" w:eastAsia="仿宋_GB2312" w:cs="Times New Roman"/>
                <w:color w:val="000000"/>
                <w:kern w:val="0"/>
                <w:sz w:val="24"/>
                <w:szCs w:val="24"/>
                <w:lang w:val="en-US" w:eastAsia="zh-CN" w:bidi="ar"/>
              </w:rPr>
              <w:t>18</w:t>
            </w:r>
            <w:r>
              <w:rPr>
                <w:rFonts w:hint="default" w:ascii="Times New Roman" w:hAnsi="Times New Roman" w:eastAsia="仿宋_GB2312" w:cs="Times New Roman"/>
                <w:color w:val="000000"/>
                <w:kern w:val="0"/>
                <w:sz w:val="24"/>
                <w:szCs w:val="24"/>
                <w:lang w:bidi="ar"/>
              </w:rPr>
              <w:t>〕</w:t>
            </w:r>
            <w:r>
              <w:rPr>
                <w:rFonts w:hint="default" w:ascii="Times New Roman" w:hAnsi="Times New Roman" w:eastAsia="仿宋_GB2312" w:cs="Times New Roman"/>
                <w:color w:val="000000"/>
                <w:sz w:val="24"/>
                <w:szCs w:val="24"/>
                <w:lang w:bidi="ar"/>
              </w:rPr>
              <w:t>63号）》</w:t>
            </w:r>
          </w:p>
        </w:tc>
        <w:tc>
          <w:tcPr>
            <w:tcW w:w="112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885" w:hRule="atLeast"/>
          <w:jc w:val="center"/>
        </w:trPr>
        <w:tc>
          <w:tcPr>
            <w:tcW w:w="76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default" w:ascii="Times New Roman" w:hAnsi="Times New Roman" w:eastAsia="仿宋_GB2312" w:cs="Times New Roman"/>
                <w:color w:val="000000"/>
                <w:sz w:val="24"/>
                <w:szCs w:val="24"/>
              </w:rPr>
            </w:pPr>
          </w:p>
        </w:tc>
        <w:tc>
          <w:tcPr>
            <w:tcW w:w="13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1003</w:t>
            </w:r>
          </w:p>
        </w:tc>
        <w:tc>
          <w:tcPr>
            <w:tcW w:w="92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bidi="ar"/>
              </w:rPr>
              <w:t>《省卫生和计划生育委员会、省教育厅、省人社厅和省机构编委办公室关于印发广东省基层卫生人才队伍建设三年行动计划（2018-2020年）的通知（粤卫</w:t>
            </w:r>
            <w:r>
              <w:rPr>
                <w:rFonts w:hint="default" w:ascii="Times New Roman" w:hAnsi="Times New Roman" w:eastAsia="仿宋_GB2312" w:cs="Times New Roman"/>
                <w:color w:val="000000"/>
                <w:kern w:val="0"/>
                <w:sz w:val="24"/>
                <w:szCs w:val="24"/>
                <w:lang w:bidi="ar"/>
              </w:rPr>
              <w:t>〔20</w:t>
            </w:r>
            <w:r>
              <w:rPr>
                <w:rFonts w:hint="default" w:ascii="Times New Roman" w:hAnsi="Times New Roman" w:eastAsia="仿宋_GB2312" w:cs="Times New Roman"/>
                <w:color w:val="000000"/>
                <w:kern w:val="0"/>
                <w:sz w:val="24"/>
                <w:szCs w:val="24"/>
                <w:lang w:val="en-US" w:eastAsia="zh-CN" w:bidi="ar"/>
              </w:rPr>
              <w:t>18</w:t>
            </w:r>
            <w:r>
              <w:rPr>
                <w:rFonts w:hint="default" w:ascii="Times New Roman" w:hAnsi="Times New Roman" w:eastAsia="仿宋_GB2312" w:cs="Times New Roman"/>
                <w:color w:val="000000"/>
                <w:kern w:val="0"/>
                <w:sz w:val="24"/>
                <w:szCs w:val="24"/>
                <w:lang w:bidi="ar"/>
              </w:rPr>
              <w:t>〕</w:t>
            </w:r>
            <w:r>
              <w:rPr>
                <w:rFonts w:hint="default" w:ascii="Times New Roman" w:hAnsi="Times New Roman" w:eastAsia="仿宋_GB2312" w:cs="Times New Roman"/>
                <w:color w:val="000000"/>
                <w:sz w:val="24"/>
                <w:szCs w:val="24"/>
                <w:lang w:bidi="ar"/>
              </w:rPr>
              <w:t>89号）》</w:t>
            </w:r>
          </w:p>
        </w:tc>
        <w:tc>
          <w:tcPr>
            <w:tcW w:w="112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427" w:hRule="atLeast"/>
          <w:jc w:val="center"/>
        </w:trPr>
        <w:tc>
          <w:tcPr>
            <w:tcW w:w="76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资金使用管理类。</w:t>
            </w:r>
          </w:p>
        </w:tc>
        <w:tc>
          <w:tcPr>
            <w:tcW w:w="166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资金支出明细表、资金明细账、资金管理办法、资金分配文件、主管部门的资金下达文件、省财政资金下达文件等</w:t>
            </w:r>
          </w:p>
        </w:tc>
        <w:tc>
          <w:tcPr>
            <w:tcW w:w="13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2001</w:t>
            </w:r>
          </w:p>
        </w:tc>
        <w:tc>
          <w:tcPr>
            <w:tcW w:w="92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r>
              <w:rPr>
                <w:rFonts w:hint="default" w:ascii="Times New Roman" w:hAnsi="Times New Roman" w:eastAsia="仿宋_GB2312" w:cs="Times New Roman"/>
                <w:color w:val="000000"/>
                <w:kern w:val="0"/>
                <w:sz w:val="24"/>
                <w:szCs w:val="24"/>
                <w:lang w:bidi="ar"/>
              </w:rPr>
              <w:t>《关于安排2019年省级医疗卫生健康事业发展专项资金（第一批）的通知（粤财社〔2019〕42号）》</w:t>
            </w:r>
          </w:p>
        </w:tc>
        <w:tc>
          <w:tcPr>
            <w:tcW w:w="112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p>
        </w:tc>
      </w:tr>
      <w:tr>
        <w:tblPrEx>
          <w:tblCellMar>
            <w:top w:w="0" w:type="dxa"/>
            <w:left w:w="108" w:type="dxa"/>
            <w:bottom w:w="0" w:type="dxa"/>
            <w:right w:w="108" w:type="dxa"/>
          </w:tblCellMar>
        </w:tblPrEx>
        <w:trPr>
          <w:trHeight w:val="425" w:hRule="atLeast"/>
          <w:jc w:val="center"/>
        </w:trPr>
        <w:tc>
          <w:tcPr>
            <w:tcW w:w="76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2002</w:t>
            </w:r>
          </w:p>
        </w:tc>
        <w:tc>
          <w:tcPr>
            <w:tcW w:w="92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r>
              <w:rPr>
                <w:rFonts w:hint="default" w:ascii="Times New Roman" w:hAnsi="Times New Roman" w:eastAsia="仿宋_GB2312" w:cs="Times New Roman"/>
                <w:color w:val="000000"/>
                <w:kern w:val="0"/>
                <w:sz w:val="24"/>
                <w:szCs w:val="24"/>
              </w:rPr>
              <w:t>《关于修订省级卫生计生事业发展专项资金管理办法的通知（粤财社〔2017〕76号）》、</w:t>
            </w:r>
          </w:p>
        </w:tc>
        <w:tc>
          <w:tcPr>
            <w:tcW w:w="112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p>
        </w:tc>
      </w:tr>
      <w:tr>
        <w:tblPrEx>
          <w:tblCellMar>
            <w:top w:w="0" w:type="dxa"/>
            <w:left w:w="108" w:type="dxa"/>
            <w:bottom w:w="0" w:type="dxa"/>
            <w:right w:w="108" w:type="dxa"/>
          </w:tblCellMar>
        </w:tblPrEx>
        <w:trPr>
          <w:trHeight w:val="459" w:hRule="atLeast"/>
          <w:jc w:val="center"/>
        </w:trPr>
        <w:tc>
          <w:tcPr>
            <w:tcW w:w="76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2003</w:t>
            </w:r>
          </w:p>
        </w:tc>
        <w:tc>
          <w:tcPr>
            <w:tcW w:w="92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r>
              <w:rPr>
                <w:rFonts w:hint="default" w:ascii="Times New Roman" w:hAnsi="Times New Roman" w:eastAsia="仿宋_GB2312" w:cs="Times New Roman"/>
                <w:color w:val="000000"/>
                <w:kern w:val="0"/>
                <w:sz w:val="24"/>
                <w:szCs w:val="24"/>
              </w:rPr>
              <w:t>《</w:t>
            </w:r>
            <w:r>
              <w:rPr>
                <w:rFonts w:hint="default" w:ascii="Times New Roman" w:hAnsi="Times New Roman" w:eastAsia="仿宋_GB2312" w:cs="Times New Roman"/>
                <w:color w:val="000000"/>
                <w:kern w:val="0"/>
                <w:sz w:val="24"/>
                <w:szCs w:val="24"/>
                <w:lang w:bidi="ar"/>
              </w:rPr>
              <w:t>《广东省人民政府关于印发广东省省级财政专项资金管理办法（试行）的通知》（粤府 〔2018〕120 号）</w:t>
            </w:r>
            <w:r>
              <w:rPr>
                <w:rFonts w:hint="default" w:ascii="Times New Roman" w:hAnsi="Times New Roman" w:eastAsia="仿宋_GB2312" w:cs="Times New Roman"/>
                <w:color w:val="000000"/>
                <w:kern w:val="0"/>
                <w:sz w:val="24"/>
                <w:szCs w:val="24"/>
              </w:rPr>
              <w:t>》</w:t>
            </w:r>
          </w:p>
        </w:tc>
        <w:tc>
          <w:tcPr>
            <w:tcW w:w="112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p>
        </w:tc>
      </w:tr>
      <w:tr>
        <w:tblPrEx>
          <w:tblCellMar>
            <w:top w:w="0" w:type="dxa"/>
            <w:left w:w="108" w:type="dxa"/>
            <w:bottom w:w="0" w:type="dxa"/>
            <w:right w:w="108" w:type="dxa"/>
          </w:tblCellMar>
        </w:tblPrEx>
        <w:trPr>
          <w:trHeight w:val="457" w:hRule="atLeast"/>
          <w:jc w:val="center"/>
        </w:trPr>
        <w:tc>
          <w:tcPr>
            <w:tcW w:w="76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2004</w:t>
            </w:r>
          </w:p>
        </w:tc>
        <w:tc>
          <w:tcPr>
            <w:tcW w:w="92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sz w:val="24"/>
                <w:szCs w:val="24"/>
              </w:rPr>
              <w:t>　</w:t>
            </w:r>
            <w:r>
              <w:rPr>
                <w:rFonts w:hint="default" w:ascii="Times New Roman" w:hAnsi="Times New Roman" w:eastAsia="仿宋_GB2312" w:cs="Times New Roman"/>
                <w:color w:val="000000"/>
                <w:kern w:val="0"/>
                <w:sz w:val="24"/>
                <w:szCs w:val="24"/>
              </w:rPr>
              <w:t>《广东省审计厅 广东省卫生计生委关于进一步加强我省基层医疗卫生服务建设能力建设项目管理和审计监督的通知》</w:t>
            </w:r>
          </w:p>
        </w:tc>
        <w:tc>
          <w:tcPr>
            <w:tcW w:w="112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p>
        </w:tc>
      </w:tr>
      <w:tr>
        <w:tblPrEx>
          <w:tblCellMar>
            <w:top w:w="0" w:type="dxa"/>
            <w:left w:w="108" w:type="dxa"/>
            <w:bottom w:w="0" w:type="dxa"/>
            <w:right w:w="108" w:type="dxa"/>
          </w:tblCellMar>
        </w:tblPrEx>
        <w:trPr>
          <w:trHeight w:val="404" w:hRule="atLeast"/>
          <w:jc w:val="center"/>
        </w:trPr>
        <w:tc>
          <w:tcPr>
            <w:tcW w:w="76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2005</w:t>
            </w:r>
          </w:p>
        </w:tc>
        <w:tc>
          <w:tcPr>
            <w:tcW w:w="92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r>
              <w:rPr>
                <w:rFonts w:hint="default" w:ascii="Times New Roman" w:hAnsi="Times New Roman" w:eastAsia="仿宋_GB2312" w:cs="Times New Roman"/>
                <w:color w:val="000000"/>
                <w:sz w:val="24"/>
                <w:szCs w:val="24"/>
                <w:lang w:bidi="ar"/>
              </w:rPr>
              <w:t>《广东省卫生计生委办公室关于印发《广东省卫生计生委加强基层医疗卫生服务能力建设项目廉政效能监督管理办法的通知（粤卫办</w:t>
            </w:r>
            <w:r>
              <w:rPr>
                <w:rFonts w:hint="default" w:ascii="Times New Roman" w:hAnsi="Times New Roman" w:eastAsia="仿宋_GB2312" w:cs="Times New Roman"/>
                <w:color w:val="000000"/>
                <w:kern w:val="0"/>
                <w:sz w:val="24"/>
                <w:szCs w:val="24"/>
                <w:lang w:bidi="ar"/>
              </w:rPr>
              <w:t>〔20</w:t>
            </w:r>
            <w:r>
              <w:rPr>
                <w:rFonts w:hint="default" w:ascii="Times New Roman" w:hAnsi="Times New Roman" w:eastAsia="仿宋_GB2312" w:cs="Times New Roman"/>
                <w:color w:val="000000"/>
                <w:kern w:val="0"/>
                <w:sz w:val="24"/>
                <w:szCs w:val="24"/>
                <w:lang w:val="en-US" w:eastAsia="zh-CN" w:bidi="ar"/>
              </w:rPr>
              <w:t>18</w:t>
            </w:r>
            <w:r>
              <w:rPr>
                <w:rFonts w:hint="default" w:ascii="Times New Roman" w:hAnsi="Times New Roman" w:eastAsia="仿宋_GB2312" w:cs="Times New Roman"/>
                <w:color w:val="000000"/>
                <w:kern w:val="0"/>
                <w:sz w:val="24"/>
                <w:szCs w:val="24"/>
                <w:lang w:bidi="ar"/>
              </w:rPr>
              <w:t>〕</w:t>
            </w:r>
            <w:r>
              <w:rPr>
                <w:rFonts w:hint="default" w:ascii="Times New Roman" w:hAnsi="Times New Roman" w:eastAsia="仿宋_GB2312" w:cs="Times New Roman"/>
                <w:color w:val="000000"/>
                <w:sz w:val="24"/>
                <w:szCs w:val="24"/>
                <w:lang w:bidi="ar"/>
              </w:rPr>
              <w:t>19 号）》</w:t>
            </w:r>
          </w:p>
        </w:tc>
        <w:tc>
          <w:tcPr>
            <w:tcW w:w="112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p>
        </w:tc>
      </w:tr>
      <w:tr>
        <w:tblPrEx>
          <w:tblCellMar>
            <w:top w:w="0" w:type="dxa"/>
            <w:left w:w="108" w:type="dxa"/>
            <w:bottom w:w="0" w:type="dxa"/>
            <w:right w:w="108" w:type="dxa"/>
          </w:tblCellMar>
        </w:tblPrEx>
        <w:trPr>
          <w:trHeight w:val="616" w:hRule="atLeast"/>
          <w:jc w:val="center"/>
        </w:trPr>
        <w:tc>
          <w:tcPr>
            <w:tcW w:w="76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事项管理类</w:t>
            </w:r>
          </w:p>
        </w:tc>
        <w:tc>
          <w:tcPr>
            <w:tcW w:w="166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申报立项的文件资料、项目调整的文件资料、项目管理办法、招标合同、完工项目的验收资料（基建项目还包括竣工财务决算审计报告、竣工财务决算批复文件等）、未完工项目的年度总结评审资料、监督管理等。</w:t>
            </w:r>
          </w:p>
        </w:tc>
        <w:tc>
          <w:tcPr>
            <w:tcW w:w="13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3001</w:t>
            </w:r>
          </w:p>
        </w:tc>
        <w:tc>
          <w:tcPr>
            <w:tcW w:w="92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bidi="ar"/>
              </w:rPr>
              <w:t>《中共广东省委办公厅 广东省人民政府办公厅印发关于加强基层医疗卫生服务能力建设的意见的通知》（粤办发</w:t>
            </w:r>
            <w:r>
              <w:rPr>
                <w:rFonts w:hint="default" w:ascii="Times New Roman" w:hAnsi="Times New Roman" w:eastAsia="仿宋_GB2312" w:cs="Times New Roman"/>
                <w:color w:val="000000"/>
                <w:kern w:val="0"/>
                <w:sz w:val="24"/>
                <w:szCs w:val="24"/>
                <w:lang w:bidi="ar"/>
              </w:rPr>
              <w:t>〔20</w:t>
            </w:r>
            <w:r>
              <w:rPr>
                <w:rFonts w:hint="default" w:ascii="Times New Roman" w:hAnsi="Times New Roman" w:eastAsia="仿宋_GB2312" w:cs="Times New Roman"/>
                <w:color w:val="000000"/>
                <w:kern w:val="0"/>
                <w:sz w:val="24"/>
                <w:szCs w:val="24"/>
                <w:lang w:val="en-US" w:eastAsia="zh-CN" w:bidi="ar"/>
              </w:rPr>
              <w:t>17</w:t>
            </w:r>
            <w:r>
              <w:rPr>
                <w:rFonts w:hint="default" w:ascii="Times New Roman" w:hAnsi="Times New Roman" w:eastAsia="仿宋_GB2312" w:cs="Times New Roman"/>
                <w:color w:val="000000"/>
                <w:kern w:val="0"/>
                <w:sz w:val="24"/>
                <w:szCs w:val="24"/>
                <w:lang w:bidi="ar"/>
              </w:rPr>
              <w:t>〕</w:t>
            </w:r>
            <w:r>
              <w:rPr>
                <w:rFonts w:hint="default" w:ascii="Times New Roman" w:hAnsi="Times New Roman" w:eastAsia="仿宋_GB2312" w:cs="Times New Roman"/>
                <w:color w:val="000000"/>
                <w:sz w:val="24"/>
                <w:szCs w:val="24"/>
                <w:lang w:bidi="ar"/>
              </w:rPr>
              <w:t>2号）</w:t>
            </w:r>
          </w:p>
        </w:tc>
        <w:tc>
          <w:tcPr>
            <w:tcW w:w="112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p>
        </w:tc>
      </w:tr>
      <w:tr>
        <w:tblPrEx>
          <w:tblCellMar>
            <w:top w:w="0" w:type="dxa"/>
            <w:left w:w="108" w:type="dxa"/>
            <w:bottom w:w="0" w:type="dxa"/>
            <w:right w:w="108" w:type="dxa"/>
          </w:tblCellMar>
        </w:tblPrEx>
        <w:trPr>
          <w:trHeight w:val="433" w:hRule="atLeast"/>
          <w:jc w:val="center"/>
        </w:trPr>
        <w:tc>
          <w:tcPr>
            <w:tcW w:w="76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3002</w:t>
            </w:r>
          </w:p>
        </w:tc>
        <w:tc>
          <w:tcPr>
            <w:tcW w:w="92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r>
              <w:rPr>
                <w:rFonts w:hint="default" w:ascii="Times New Roman" w:hAnsi="Times New Roman" w:eastAsia="仿宋_GB2312" w:cs="Times New Roman"/>
                <w:color w:val="000000"/>
                <w:sz w:val="24"/>
                <w:szCs w:val="24"/>
                <w:lang w:bidi="ar"/>
              </w:rPr>
              <w:t>《关于加强基层医疗卫生服务能力建设的意见》的通知（粤办发</w:t>
            </w:r>
            <w:r>
              <w:rPr>
                <w:rFonts w:hint="default" w:ascii="Times New Roman" w:hAnsi="Times New Roman" w:eastAsia="仿宋_GB2312" w:cs="Times New Roman"/>
                <w:color w:val="000000"/>
                <w:kern w:val="0"/>
                <w:sz w:val="24"/>
                <w:szCs w:val="24"/>
                <w:lang w:bidi="ar"/>
              </w:rPr>
              <w:t>〔20</w:t>
            </w:r>
            <w:r>
              <w:rPr>
                <w:rFonts w:hint="default" w:ascii="Times New Roman" w:hAnsi="Times New Roman" w:eastAsia="仿宋_GB2312" w:cs="Times New Roman"/>
                <w:color w:val="000000"/>
                <w:kern w:val="0"/>
                <w:sz w:val="24"/>
                <w:szCs w:val="24"/>
                <w:lang w:val="en-US" w:eastAsia="zh-CN" w:bidi="ar"/>
              </w:rPr>
              <w:t>17</w:t>
            </w:r>
            <w:r>
              <w:rPr>
                <w:rFonts w:hint="default" w:ascii="Times New Roman" w:hAnsi="Times New Roman" w:eastAsia="仿宋_GB2312" w:cs="Times New Roman"/>
                <w:color w:val="000000"/>
                <w:kern w:val="0"/>
                <w:sz w:val="24"/>
                <w:szCs w:val="24"/>
                <w:lang w:bidi="ar"/>
              </w:rPr>
              <w:t>〕</w:t>
            </w:r>
            <w:r>
              <w:rPr>
                <w:rFonts w:hint="default" w:ascii="Times New Roman" w:hAnsi="Times New Roman" w:eastAsia="仿宋_GB2312" w:cs="Times New Roman"/>
                <w:color w:val="000000"/>
                <w:sz w:val="24"/>
                <w:szCs w:val="24"/>
                <w:lang w:bidi="ar"/>
              </w:rPr>
              <w:t>2号）》</w:t>
            </w:r>
          </w:p>
        </w:tc>
        <w:tc>
          <w:tcPr>
            <w:tcW w:w="112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p>
        </w:tc>
      </w:tr>
      <w:tr>
        <w:tblPrEx>
          <w:tblCellMar>
            <w:top w:w="0" w:type="dxa"/>
            <w:left w:w="108" w:type="dxa"/>
            <w:bottom w:w="0" w:type="dxa"/>
            <w:right w:w="108" w:type="dxa"/>
          </w:tblCellMar>
        </w:tblPrEx>
        <w:trPr>
          <w:trHeight w:val="616" w:hRule="atLeast"/>
          <w:jc w:val="center"/>
        </w:trPr>
        <w:tc>
          <w:tcPr>
            <w:tcW w:w="76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3003</w:t>
            </w:r>
          </w:p>
        </w:tc>
        <w:tc>
          <w:tcPr>
            <w:tcW w:w="92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r>
              <w:rPr>
                <w:rFonts w:hint="default" w:ascii="Times New Roman" w:hAnsi="Times New Roman" w:eastAsia="仿宋_GB2312" w:cs="Times New Roman"/>
                <w:color w:val="000000"/>
                <w:kern w:val="0"/>
                <w:sz w:val="24"/>
                <w:szCs w:val="24"/>
                <w:lang w:bidi="ar"/>
              </w:rPr>
              <w:t>《关于印发财政支持加强基层医疗卫生服务能力建设的实施方案的通知（粤财社〔20</w:t>
            </w:r>
            <w:r>
              <w:rPr>
                <w:rFonts w:hint="default" w:ascii="Times New Roman" w:hAnsi="Times New Roman" w:eastAsia="仿宋_GB2312" w:cs="Times New Roman"/>
                <w:color w:val="000000"/>
                <w:kern w:val="0"/>
                <w:sz w:val="24"/>
                <w:szCs w:val="24"/>
                <w:lang w:val="en-US" w:eastAsia="zh-CN" w:bidi="ar"/>
              </w:rPr>
              <w:t>17</w:t>
            </w:r>
            <w:r>
              <w:rPr>
                <w:rFonts w:hint="default" w:ascii="Times New Roman" w:hAnsi="Times New Roman" w:eastAsia="仿宋_GB2312" w:cs="Times New Roman"/>
                <w:color w:val="000000"/>
                <w:kern w:val="0"/>
                <w:sz w:val="24"/>
                <w:szCs w:val="24"/>
                <w:lang w:bidi="ar"/>
              </w:rPr>
              <w:t>〕33号）》</w:t>
            </w:r>
          </w:p>
        </w:tc>
        <w:tc>
          <w:tcPr>
            <w:tcW w:w="112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p>
        </w:tc>
      </w:tr>
      <w:tr>
        <w:tblPrEx>
          <w:tblCellMar>
            <w:top w:w="0" w:type="dxa"/>
            <w:left w:w="108" w:type="dxa"/>
            <w:bottom w:w="0" w:type="dxa"/>
            <w:right w:w="108" w:type="dxa"/>
          </w:tblCellMar>
        </w:tblPrEx>
        <w:trPr>
          <w:trHeight w:val="468" w:hRule="atLeast"/>
          <w:jc w:val="center"/>
        </w:trPr>
        <w:tc>
          <w:tcPr>
            <w:tcW w:w="76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3004</w:t>
            </w:r>
          </w:p>
        </w:tc>
        <w:tc>
          <w:tcPr>
            <w:tcW w:w="92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r>
              <w:rPr>
                <w:rFonts w:hint="default" w:ascii="Times New Roman" w:hAnsi="Times New Roman" w:eastAsia="仿宋_GB2312" w:cs="Times New Roman"/>
                <w:color w:val="000000"/>
                <w:kern w:val="0"/>
                <w:sz w:val="24"/>
                <w:szCs w:val="24"/>
                <w:lang w:bidi="ar"/>
              </w:rPr>
              <w:t>《关于印发财政支持加强基层医疗卫生服务能力建设的实施方案的通知（粤财社〔20</w:t>
            </w:r>
            <w:r>
              <w:rPr>
                <w:rFonts w:hint="default" w:ascii="Times New Roman" w:hAnsi="Times New Roman" w:eastAsia="仿宋_GB2312" w:cs="Times New Roman"/>
                <w:color w:val="000000"/>
                <w:kern w:val="0"/>
                <w:sz w:val="24"/>
                <w:szCs w:val="24"/>
                <w:lang w:val="en-US" w:eastAsia="zh-CN" w:bidi="ar"/>
              </w:rPr>
              <w:t>17</w:t>
            </w:r>
            <w:r>
              <w:rPr>
                <w:rFonts w:hint="default" w:ascii="Times New Roman" w:hAnsi="Times New Roman" w:eastAsia="仿宋_GB2312" w:cs="Times New Roman"/>
                <w:color w:val="000000"/>
                <w:kern w:val="0"/>
                <w:sz w:val="24"/>
                <w:szCs w:val="24"/>
                <w:lang w:bidi="ar"/>
              </w:rPr>
              <w:t>〕33号）》</w:t>
            </w:r>
          </w:p>
        </w:tc>
        <w:tc>
          <w:tcPr>
            <w:tcW w:w="112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p>
        </w:tc>
      </w:tr>
      <w:tr>
        <w:tblPrEx>
          <w:tblCellMar>
            <w:top w:w="0" w:type="dxa"/>
            <w:left w:w="108" w:type="dxa"/>
            <w:bottom w:w="0" w:type="dxa"/>
            <w:right w:w="108" w:type="dxa"/>
          </w:tblCellMar>
        </w:tblPrEx>
        <w:trPr>
          <w:trHeight w:val="209" w:hRule="atLeast"/>
          <w:jc w:val="center"/>
        </w:trPr>
        <w:tc>
          <w:tcPr>
            <w:tcW w:w="76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3005</w:t>
            </w:r>
          </w:p>
        </w:tc>
        <w:tc>
          <w:tcPr>
            <w:tcW w:w="92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《广东省卫生计生委关于印发广东省全科医生和产科、儿科医生培训项目实施方案的通知（粤卫〔2017〕33号）》</w:t>
            </w:r>
          </w:p>
        </w:tc>
        <w:tc>
          <w:tcPr>
            <w:tcW w:w="112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p>
        </w:tc>
      </w:tr>
      <w:tr>
        <w:tblPrEx>
          <w:tblCellMar>
            <w:top w:w="0" w:type="dxa"/>
            <w:left w:w="108" w:type="dxa"/>
            <w:bottom w:w="0" w:type="dxa"/>
            <w:right w:w="108" w:type="dxa"/>
          </w:tblCellMar>
        </w:tblPrEx>
        <w:trPr>
          <w:trHeight w:val="113" w:hRule="atLeast"/>
          <w:jc w:val="center"/>
        </w:trPr>
        <w:tc>
          <w:tcPr>
            <w:tcW w:w="76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3006</w:t>
            </w:r>
          </w:p>
        </w:tc>
        <w:tc>
          <w:tcPr>
            <w:tcW w:w="92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《广东省卫生计生委 广东省财政厅 广东省人力资源社会保障厅关于印发广东省基层医疗卫生机构全科医生特设岗位工作实施方案的通知》（粤卫函〔2017〕1572号）</w:t>
            </w:r>
          </w:p>
        </w:tc>
        <w:tc>
          <w:tcPr>
            <w:tcW w:w="1129"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138" w:hRule="atLeast"/>
          <w:jc w:val="center"/>
        </w:trPr>
        <w:tc>
          <w:tcPr>
            <w:tcW w:w="76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3007</w:t>
            </w:r>
          </w:p>
        </w:tc>
        <w:tc>
          <w:tcPr>
            <w:tcW w:w="92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《广东省卫生计生委办公室关于印发广东省远程医疗平台项目试点实施方案的通知》（粤卫办函〔2018〕240号）</w:t>
            </w:r>
          </w:p>
        </w:tc>
        <w:tc>
          <w:tcPr>
            <w:tcW w:w="1129"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138" w:hRule="atLeast"/>
          <w:jc w:val="center"/>
        </w:trPr>
        <w:tc>
          <w:tcPr>
            <w:tcW w:w="76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3008</w:t>
            </w:r>
          </w:p>
        </w:tc>
        <w:tc>
          <w:tcPr>
            <w:tcW w:w="92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《广东省贫困村配置智能健康监测设备包项目工作方案》（粤卫办函〔2019〕216号）</w:t>
            </w:r>
          </w:p>
        </w:tc>
        <w:tc>
          <w:tcPr>
            <w:tcW w:w="1129"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148" w:hRule="atLeast"/>
          <w:jc w:val="center"/>
        </w:trPr>
        <w:tc>
          <w:tcPr>
            <w:tcW w:w="76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3009</w:t>
            </w:r>
          </w:p>
        </w:tc>
        <w:tc>
          <w:tcPr>
            <w:tcW w:w="92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《广东省住院医师规范化培训实施办法》（粤卫〔20</w:t>
            </w:r>
            <w:r>
              <w:rPr>
                <w:rFonts w:hint="default" w:ascii="Times New Roman" w:hAnsi="Times New Roman" w:eastAsia="仿宋_GB2312" w:cs="Times New Roman"/>
                <w:color w:val="000000"/>
                <w:kern w:val="0"/>
                <w:sz w:val="24"/>
                <w:szCs w:val="24"/>
                <w:lang w:val="en-US" w:eastAsia="zh-CN" w:bidi="ar"/>
              </w:rPr>
              <w:t>15</w:t>
            </w:r>
            <w:r>
              <w:rPr>
                <w:rFonts w:hint="default" w:ascii="Times New Roman" w:hAnsi="Times New Roman" w:eastAsia="仿宋_GB2312" w:cs="Times New Roman"/>
                <w:color w:val="000000"/>
                <w:kern w:val="0"/>
                <w:sz w:val="24"/>
                <w:szCs w:val="24"/>
                <w:lang w:bidi="ar"/>
              </w:rPr>
              <w:t>〕86号 ）</w:t>
            </w:r>
          </w:p>
        </w:tc>
        <w:tc>
          <w:tcPr>
            <w:tcW w:w="1129"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19" w:hRule="atLeast"/>
          <w:jc w:val="center"/>
        </w:trPr>
        <w:tc>
          <w:tcPr>
            <w:tcW w:w="76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3010</w:t>
            </w:r>
          </w:p>
        </w:tc>
        <w:tc>
          <w:tcPr>
            <w:tcW w:w="92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《广东省卫生计生委办公室关于印发广东省2018-2020年家庭医生服务团队培训方案的通知》（粤卫办函〔2017〕523号）</w:t>
            </w:r>
          </w:p>
        </w:tc>
        <w:tc>
          <w:tcPr>
            <w:tcW w:w="1129"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9" w:hRule="atLeast"/>
          <w:jc w:val="center"/>
        </w:trPr>
        <w:tc>
          <w:tcPr>
            <w:tcW w:w="76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3011</w:t>
            </w:r>
          </w:p>
        </w:tc>
        <w:tc>
          <w:tcPr>
            <w:tcW w:w="92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《广东省卫生健康委关于</w:t>
            </w:r>
            <w:r>
              <w:rPr>
                <w:rFonts w:hint="eastAsia" w:ascii="Times New Roman" w:hAnsi="Times New Roman" w:eastAsia="仿宋_GB2312" w:cs="Times New Roman"/>
                <w:color w:val="000000"/>
                <w:kern w:val="0"/>
                <w:sz w:val="24"/>
                <w:szCs w:val="24"/>
                <w:lang w:eastAsia="zh-CN" w:bidi="ar"/>
              </w:rPr>
              <w:t>提请省政府对严重滞后的县级公立医院升级建设项目进行督导的请示</w:t>
            </w:r>
            <w:r>
              <w:rPr>
                <w:rFonts w:hint="default" w:ascii="Times New Roman" w:hAnsi="Times New Roman" w:eastAsia="仿宋_GB2312" w:cs="Times New Roman"/>
                <w:color w:val="000000"/>
                <w:kern w:val="0"/>
                <w:sz w:val="24"/>
                <w:szCs w:val="24"/>
                <w:lang w:bidi="ar"/>
              </w:rPr>
              <w:t>》（粤卫办函〔20</w:t>
            </w:r>
            <w:r>
              <w:rPr>
                <w:rFonts w:hint="default" w:ascii="Times New Roman" w:hAnsi="Times New Roman" w:eastAsia="仿宋_GB2312" w:cs="Times New Roman"/>
                <w:color w:val="000000"/>
                <w:kern w:val="0"/>
                <w:sz w:val="24"/>
                <w:szCs w:val="24"/>
                <w:lang w:val="en-US" w:eastAsia="zh-CN" w:bidi="ar"/>
              </w:rPr>
              <w:t>19</w:t>
            </w:r>
            <w:r>
              <w:rPr>
                <w:rFonts w:hint="default" w:ascii="Times New Roman" w:hAnsi="Times New Roman" w:eastAsia="仿宋_GB2312" w:cs="Times New Roman"/>
                <w:color w:val="000000"/>
                <w:kern w:val="0"/>
                <w:sz w:val="24"/>
                <w:szCs w:val="24"/>
                <w:lang w:bidi="ar"/>
              </w:rPr>
              <w:t>〕120号）</w:t>
            </w:r>
          </w:p>
        </w:tc>
        <w:tc>
          <w:tcPr>
            <w:tcW w:w="1129"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25" w:hRule="atLeast"/>
          <w:jc w:val="center"/>
        </w:trPr>
        <w:tc>
          <w:tcPr>
            <w:tcW w:w="76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66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p>
        </w:tc>
        <w:tc>
          <w:tcPr>
            <w:tcW w:w="92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p>
        </w:tc>
        <w:tc>
          <w:tcPr>
            <w:tcW w:w="1129"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455"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0"/>
                <w:sz w:val="24"/>
                <w:szCs w:val="24"/>
                <w:lang w:val="en-US" w:eastAsia="zh-CN" w:bidi="ar"/>
              </w:rPr>
              <w:t>绩效表现类</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default" w:ascii="Times New Roman" w:hAnsi="Times New Roman" w:eastAsia="仿宋_GB2312" w:cs="Times New Roman"/>
                <w:color w:val="000000"/>
                <w:sz w:val="24"/>
                <w:szCs w:val="24"/>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 其他反映绩效评价指标所对应绩效信息点的相关佐证材料</w:t>
            </w:r>
          </w:p>
        </w:tc>
        <w:tc>
          <w:tcPr>
            <w:tcW w:w="13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92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r>
              <w:rPr>
                <w:rFonts w:hint="eastAsia" w:ascii="Times New Roman" w:hAnsi="Times New Roman" w:eastAsia="仿宋_GB2312" w:cs="Times New Roman"/>
                <w:snapToGrid w:val="0"/>
                <w:color w:val="000000"/>
                <w:kern w:val="0"/>
                <w:sz w:val="24"/>
                <w:szCs w:val="24"/>
                <w:lang w:val="en-US" w:eastAsia="zh-CN"/>
              </w:rPr>
              <w:t>无</w:t>
            </w:r>
          </w:p>
        </w:tc>
        <w:tc>
          <w:tcPr>
            <w:tcW w:w="1129"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w:t>
            </w:r>
          </w:p>
        </w:tc>
      </w:tr>
    </w:tbl>
    <w:p/>
    <w:sectPr>
      <w:pgSz w:w="16838" w:h="11906" w:orient="landscape"/>
      <w:pgMar w:top="1531" w:right="2041" w:bottom="1531" w:left="204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4"/>
                      <w:rPr>
                        <w:rFonts w:eastAsia="宋体"/>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- 4 -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- 4 -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- 5 -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- 5 -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E6592"/>
    <w:multiLevelType w:val="singleLevel"/>
    <w:tmpl w:val="913E6592"/>
    <w:lvl w:ilvl="0" w:tentative="0">
      <w:start w:val="1"/>
      <w:numFmt w:val="decimal"/>
      <w:lvlText w:val="%1."/>
      <w:lvlJc w:val="left"/>
      <w:pPr>
        <w:tabs>
          <w:tab w:val="left" w:pos="312"/>
        </w:tabs>
      </w:pPr>
    </w:lvl>
  </w:abstractNum>
  <w:abstractNum w:abstractNumId="1">
    <w:nsid w:val="A1293A06"/>
    <w:multiLevelType w:val="singleLevel"/>
    <w:tmpl w:val="A1293A06"/>
    <w:lvl w:ilvl="0" w:tentative="0">
      <w:start w:val="1"/>
      <w:numFmt w:val="chineseCounting"/>
      <w:suff w:val="nothing"/>
      <w:lvlText w:val="（%1）"/>
      <w:lvlJc w:val="left"/>
      <w:rPr>
        <w:rFonts w:hint="eastAsia"/>
      </w:rPr>
    </w:lvl>
  </w:abstractNum>
  <w:abstractNum w:abstractNumId="2">
    <w:nsid w:val="DBB8DEBE"/>
    <w:multiLevelType w:val="singleLevel"/>
    <w:tmpl w:val="DBB8DEBE"/>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E3632"/>
    <w:rsid w:val="101E3632"/>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2"/>
      <w:lang w:val="en-US" w:eastAsia="zh-CN"/>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line="360" w:lineRule="auto"/>
    </w:pPr>
    <w:rPr>
      <w:rFonts w:eastAsia="宋体"/>
      <w:sz w:val="24"/>
    </w:rPr>
  </w:style>
  <w:style w:type="paragraph" w:styleId="3">
    <w:name w:val="Body Text Indent"/>
    <w:basedOn w:val="1"/>
    <w:qFormat/>
    <w:uiPriority w:val="0"/>
    <w:pPr>
      <w:spacing w:line="150" w:lineRule="atLeast"/>
      <w:ind w:firstLine="420" w:firstLineChars="200"/>
      <w:textAlignment w:val="baseline"/>
    </w:pPr>
    <w:rPr>
      <w:rFonts w:ascii="Times New Roman" w:hAnsi="Times New Roman" w:cs="Times New Roman"/>
      <w:szCs w:val="24"/>
      <w:lang w:bidi="ar-SA"/>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网格型1"/>
    <w:basedOn w:val="5"/>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81"/>
    <w:basedOn w:val="7"/>
    <w:qFormat/>
    <w:uiPriority w:val="0"/>
    <w:rPr>
      <w:rFonts w:ascii="Arial" w:hAnsi="Arial" w:eastAsia="宋体" w:cs="Arial"/>
      <w:color w:val="000000"/>
      <w:sz w:val="24"/>
      <w:szCs w:val="24"/>
      <w:u w:val="none"/>
    </w:rPr>
  </w:style>
  <w:style w:type="character" w:customStyle="1" w:styleId="10">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23\AppData\Local\Temp\wps.K11732\Chart%20in%20W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5694444444444"/>
          <c:y val="0.025"/>
        </c:manualLayout>
      </c:layout>
      <c:overlay val="0"/>
      <c:spPr>
        <a:noFill/>
        <a:ln>
          <a:noFill/>
        </a:ln>
        <a:effectLst/>
      </c:spPr>
      <c:tx>
        <c:rich>
          <a:bodyPr/>
          <a:lstStyle/>
          <a:p>
            <a:pPr>
              <a:defRPr/>
            </a:pPr>
          </a:p>
        </c:rich>
      </c:tx>
    </c:title>
    <c:autoTitleDeleted val="0"/>
    <c:plotArea>
      <c:layout/>
      <c:lineChart>
        <c:grouping val="standard"/>
        <c:varyColors val="0"/>
        <c:ser>
          <c:idx val="0"/>
          <c:order val="0"/>
          <c:tx>
            <c:strRef>
              <c:f>'[Chart in Wps.xlsx]Sheet1'!$B$1</c:f>
              <c:strCache>
                <c:ptCount val="1"/>
                <c:pt idx="0">
                  <c:v>2015年、2016年</c:v>
                </c:pt>
              </c:strCache>
            </c:strRef>
          </c:tx>
          <c:spPr>
            <a:ln w="28575" cap="rnd" cmpd="sng" algn="ctr">
              <a:solidFill>
                <a:srgbClr val="4F81BD"/>
              </a:solidFill>
              <a:prstDash val="solid"/>
              <a:round/>
            </a:ln>
            <a:effectLst/>
          </c:spPr>
          <c:marker>
            <c:symbol val="none"/>
          </c:marker>
          <c:dLbls>
            <c:delete val="1"/>
          </c:dLbls>
          <c:cat>
            <c:strRef>
              <c:f>'[Chart in Wps.xlsx]Sheet1'!$A$2:$A$8</c:f>
              <c:strCache>
                <c:ptCount val="7"/>
                <c:pt idx="0">
                  <c:v>家庭医生签约服务骨干师资</c:v>
                </c:pt>
                <c:pt idx="1">
                  <c:v>住院骨干师资</c:v>
                </c:pt>
                <c:pt idx="2">
                  <c:v>住院医师规范化培训招生数量</c:v>
                </c:pt>
                <c:pt idx="3">
                  <c:v>全科医生</c:v>
                </c:pt>
                <c:pt idx="4">
                  <c:v>转岗培训儿科医师数量</c:v>
                </c:pt>
                <c:pt idx="5">
                  <c:v>转岗培训产科医师数量</c:v>
                </c:pt>
                <c:pt idx="6">
                  <c:v>订单定向培养医学生数量</c:v>
                </c:pt>
              </c:strCache>
            </c:strRef>
          </c:cat>
          <c:val>
            <c:numRef>
              <c:f>'[Chart in Wps.xlsx]Sheet1'!$B$2:$B$8</c:f>
              <c:numCache>
                <c:formatCode>General</c:formatCode>
                <c:ptCount val="7"/>
                <c:pt idx="6">
                  <c:v>271</c:v>
                </c:pt>
              </c:numCache>
            </c:numRef>
          </c:val>
          <c:smooth val="0"/>
        </c:ser>
        <c:ser>
          <c:idx val="1"/>
          <c:order val="1"/>
          <c:tx>
            <c:strRef>
              <c:f>'[Chart in Wps.xlsx]Sheet1'!$C$1</c:f>
              <c:strCache>
                <c:ptCount val="1"/>
                <c:pt idx="0">
                  <c:v>2017年</c:v>
                </c:pt>
              </c:strCache>
            </c:strRef>
          </c:tx>
          <c:spPr>
            <a:ln w="28575" cap="rnd" cmpd="sng" algn="ctr">
              <a:solidFill>
                <a:srgbClr val="C0504D"/>
              </a:solidFill>
              <a:prstDash val="solid"/>
              <a:round/>
            </a:ln>
            <a:effectLst/>
          </c:spPr>
          <c:marker>
            <c:symbol val="none"/>
          </c:marker>
          <c:dLbls>
            <c:delete val="1"/>
          </c:dLbls>
          <c:cat>
            <c:strRef>
              <c:f>'[Chart in Wps.xlsx]Sheet1'!$A$2:$A$8</c:f>
              <c:strCache>
                <c:ptCount val="7"/>
                <c:pt idx="0">
                  <c:v>家庭医生签约服务骨干师资</c:v>
                </c:pt>
                <c:pt idx="1">
                  <c:v>住院骨干师资</c:v>
                </c:pt>
                <c:pt idx="2">
                  <c:v>住院医师规范化培训招生数量</c:v>
                </c:pt>
                <c:pt idx="3">
                  <c:v>全科医生</c:v>
                </c:pt>
                <c:pt idx="4">
                  <c:v>转岗培训儿科医师数量</c:v>
                </c:pt>
                <c:pt idx="5">
                  <c:v>转岗培训产科医师数量</c:v>
                </c:pt>
                <c:pt idx="6">
                  <c:v>订单定向培养医学生数量</c:v>
                </c:pt>
              </c:strCache>
            </c:strRef>
          </c:cat>
          <c:val>
            <c:numRef>
              <c:f>'[Chart in Wps.xlsx]Sheet1'!$C$2:$C$8</c:f>
              <c:numCache>
                <c:formatCode>General</c:formatCode>
                <c:ptCount val="7"/>
                <c:pt idx="2">
                  <c:v>168</c:v>
                </c:pt>
                <c:pt idx="3">
                  <c:v>101</c:v>
                </c:pt>
                <c:pt idx="6">
                  <c:v>881</c:v>
                </c:pt>
              </c:numCache>
            </c:numRef>
          </c:val>
          <c:smooth val="0"/>
        </c:ser>
        <c:ser>
          <c:idx val="2"/>
          <c:order val="2"/>
          <c:tx>
            <c:strRef>
              <c:f>'[Chart in Wps.xlsx]Sheet1'!$D$1</c:f>
              <c:strCache>
                <c:ptCount val="1"/>
                <c:pt idx="0">
                  <c:v>2018年</c:v>
                </c:pt>
              </c:strCache>
            </c:strRef>
          </c:tx>
          <c:spPr>
            <a:ln w="28575" cap="rnd" cmpd="sng" algn="ctr">
              <a:solidFill>
                <a:srgbClr val="9BBB59"/>
              </a:solidFill>
              <a:prstDash val="solid"/>
              <a:round/>
            </a:ln>
            <a:effectLst/>
          </c:spPr>
          <c:marker>
            <c:symbol val="none"/>
          </c:marker>
          <c:dLbls>
            <c:delete val="1"/>
          </c:dLbls>
          <c:cat>
            <c:strRef>
              <c:f>'[Chart in Wps.xlsx]Sheet1'!$A$2:$A$8</c:f>
              <c:strCache>
                <c:ptCount val="7"/>
                <c:pt idx="0">
                  <c:v>家庭医生签约服务骨干师资</c:v>
                </c:pt>
                <c:pt idx="1">
                  <c:v>住院骨干师资</c:v>
                </c:pt>
                <c:pt idx="2">
                  <c:v>住院医师规范化培训招生数量</c:v>
                </c:pt>
                <c:pt idx="3">
                  <c:v>全科医生</c:v>
                </c:pt>
                <c:pt idx="4">
                  <c:v>转岗培训儿科医师数量</c:v>
                </c:pt>
                <c:pt idx="5">
                  <c:v>转岗培训产科医师数量</c:v>
                </c:pt>
                <c:pt idx="6">
                  <c:v>订单定向培养医学生数量</c:v>
                </c:pt>
              </c:strCache>
            </c:strRef>
          </c:cat>
          <c:val>
            <c:numRef>
              <c:f>'[Chart in Wps.xlsx]Sheet1'!$D$2:$D$8</c:f>
              <c:numCache>
                <c:formatCode>General</c:formatCode>
                <c:ptCount val="7"/>
                <c:pt idx="2">
                  <c:v>4784</c:v>
                </c:pt>
                <c:pt idx="3">
                  <c:v>5300</c:v>
                </c:pt>
                <c:pt idx="4">
                  <c:v>360</c:v>
                </c:pt>
                <c:pt idx="5">
                  <c:v>970</c:v>
                </c:pt>
                <c:pt idx="6">
                  <c:v>1020</c:v>
                </c:pt>
              </c:numCache>
            </c:numRef>
          </c:val>
          <c:smooth val="0"/>
        </c:ser>
        <c:ser>
          <c:idx val="3"/>
          <c:order val="3"/>
          <c:tx>
            <c:strRef>
              <c:f>'[Chart in Wps.xlsx]Sheet1'!$E$1</c:f>
              <c:strCache>
                <c:ptCount val="1"/>
                <c:pt idx="0">
                  <c:v>2019年</c:v>
                </c:pt>
              </c:strCache>
            </c:strRef>
          </c:tx>
          <c:spPr>
            <a:ln w="28575" cap="rnd" cmpd="sng" algn="ctr">
              <a:solidFill>
                <a:srgbClr val="8064A2"/>
              </a:solidFill>
              <a:prstDash val="solid"/>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'[Chart in Wps.xlsx]Sheet1'!$A$2:$A$8</c:f>
              <c:strCache>
                <c:ptCount val="7"/>
                <c:pt idx="0">
                  <c:v>家庭医生签约服务骨干师资</c:v>
                </c:pt>
                <c:pt idx="1">
                  <c:v>住院骨干师资</c:v>
                </c:pt>
                <c:pt idx="2">
                  <c:v>住院医师规范化培训招生数量</c:v>
                </c:pt>
                <c:pt idx="3">
                  <c:v>全科医生</c:v>
                </c:pt>
                <c:pt idx="4">
                  <c:v>转岗培训儿科医师数量</c:v>
                </c:pt>
                <c:pt idx="5">
                  <c:v>转岗培训产科医师数量</c:v>
                </c:pt>
                <c:pt idx="6">
                  <c:v>订单定向培养医学生数量</c:v>
                </c:pt>
              </c:strCache>
            </c:strRef>
          </c:cat>
          <c:val>
            <c:numRef>
              <c:f>'[Chart in Wps.xlsx]Sheet1'!$E$2:$E$8</c:f>
              <c:numCache>
                <c:formatCode>General</c:formatCode>
                <c:ptCount val="7"/>
                <c:pt idx="0">
                  <c:v>272</c:v>
                </c:pt>
                <c:pt idx="1">
                  <c:v>1000</c:v>
                </c:pt>
                <c:pt idx="2">
                  <c:v>3340</c:v>
                </c:pt>
                <c:pt idx="3">
                  <c:v>6749</c:v>
                </c:pt>
                <c:pt idx="4">
                  <c:v>376</c:v>
                </c:pt>
                <c:pt idx="5">
                  <c:v>1158</c:v>
                </c:pt>
                <c:pt idx="6">
                  <c:v>1474</c:v>
                </c:pt>
              </c:numCache>
            </c:numRef>
          </c:val>
          <c:smooth val="0"/>
        </c:ser>
        <c:dLbls>
          <c:showLegendKey val="0"/>
          <c:showVal val="0"/>
          <c:showCatName val="0"/>
          <c:showSerName val="0"/>
          <c:showPercent val="0"/>
          <c:showBubbleSize val="0"/>
        </c:dLbls>
        <c:marker val="0"/>
        <c:smooth val="0"/>
        <c:axId val="467792702"/>
        <c:axId val="362091400"/>
      </c:lineChart>
      <c:catAx>
        <c:axId val="467792702"/>
        <c:scaling>
          <c:orientation val="minMax"/>
        </c:scaling>
        <c:delete val="0"/>
        <c:axPos val="b"/>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62091400"/>
        <c:crosses val="autoZero"/>
        <c:auto val="1"/>
        <c:lblAlgn val="ctr"/>
        <c:lblOffset val="100"/>
        <c:noMultiLvlLbl val="0"/>
      </c:catAx>
      <c:valAx>
        <c:axId val="362091400"/>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4677927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2020-04-01T02:25:00Z</dcterms:created>
  <dc:creator>华</dc:creator>
  <cp:lastModifiedBy>华</cp:lastModifiedBy>
  <dcterms:modified xsi:type="dcterms:W3CDTF">2020-04-01T02:31:44Z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