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适宜技术推广项目专家学术论证意见表</w:t>
      </w:r>
    </w:p>
    <w:tbl>
      <w:tblPr>
        <w:tblStyle w:val="3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3"/>
        <w:gridCol w:w="340"/>
        <w:gridCol w:w="3685"/>
        <w:gridCol w:w="182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4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承担单位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4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     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4" w:hRule="atLeast"/>
          <w:jc w:val="center"/>
        </w:trPr>
        <w:tc>
          <w:tcPr>
            <w:tcW w:w="9465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360" w:firstLine="5040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日期：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highlight w:val="none"/>
          <w:lang w:val="en-US" w:eastAsia="zh-CN"/>
        </w:rPr>
        <w:t>注：论证专家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其中1名担任组长，负责综合其他专家论证意见，形成项目学术论证意见，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其中应包括项目安全性论证意见。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33996"/>
    <w:rsid w:val="45CA5A85"/>
    <w:rsid w:val="6343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2020-06-04T06:51:00Z</dcterms:created>
  <dc:creator>eva</dc:creator>
  <cp:lastModifiedBy>eva</cp:lastModifiedBy>
  <dcterms:modified xsi:type="dcterms:W3CDTF">2020-06-04T06:51:57Z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