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left"/>
        <w:textAlignment w:val="auto"/>
        <w:rPr>
          <w:rFonts w:hint="default"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老年人生活自理能力评估表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姓名：            性别：       年龄：       居家号/ID号：</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该表为自评表，根据下表中5个方面进行评估，将各方面判断评分汇总后，0</w:t>
      </w:r>
      <w:r>
        <w:rPr>
          <w:rFonts w:hint="default" w:ascii="Times New Roman" w:hAnsi="Times New Roman" w:cs="Times New Roman"/>
          <w:snapToGrid w:val="0"/>
          <w:color w:val="auto"/>
          <w:kern w:val="0"/>
          <w:sz w:val="24"/>
        </w:rPr>
        <w:t>～</w:t>
      </w:r>
      <w:r>
        <w:rPr>
          <w:rFonts w:hint="default" w:ascii="Times New Roman" w:hAnsi="Times New Roman" w:cs="Times New Roman"/>
          <w:color w:val="auto"/>
          <w:szCs w:val="21"/>
        </w:rPr>
        <w:t>3分者为可自理；4</w:t>
      </w:r>
      <w:r>
        <w:rPr>
          <w:rFonts w:hint="default" w:ascii="Times New Roman" w:hAnsi="Times New Roman" w:cs="Times New Roman"/>
          <w:snapToGrid w:val="0"/>
          <w:color w:val="auto"/>
          <w:kern w:val="0"/>
          <w:sz w:val="24"/>
        </w:rPr>
        <w:t>～</w:t>
      </w:r>
      <w:r>
        <w:rPr>
          <w:rFonts w:hint="default" w:ascii="Times New Roman" w:hAnsi="Times New Roman" w:cs="Times New Roman"/>
          <w:color w:val="auto"/>
          <w:szCs w:val="21"/>
        </w:rPr>
        <w:t>8分者为轻度依赖；9</w:t>
      </w:r>
      <w:r>
        <w:rPr>
          <w:rFonts w:hint="default" w:ascii="Times New Roman" w:hAnsi="Times New Roman" w:cs="Times New Roman"/>
          <w:snapToGrid w:val="0"/>
          <w:color w:val="auto"/>
          <w:kern w:val="0"/>
          <w:sz w:val="24"/>
        </w:rPr>
        <w:t>～</w:t>
      </w:r>
      <w:r>
        <w:rPr>
          <w:rFonts w:hint="default" w:ascii="Times New Roman" w:hAnsi="Times New Roman" w:cs="Times New Roman"/>
          <w:color w:val="auto"/>
          <w:szCs w:val="21"/>
        </w:rPr>
        <w:t>18分者为中度依赖；</w:t>
      </w:r>
      <w:r>
        <w:rPr>
          <w:rFonts w:hint="default" w:ascii="Times New Roman" w:hAnsi="Times New Roman" w:eastAsia="Courier" w:cs="Times New Roman"/>
          <w:color w:val="auto"/>
          <w:szCs w:val="21"/>
        </w:rPr>
        <w:sym w:font="Symbol" w:char="00B3"/>
      </w:r>
      <w:r>
        <w:rPr>
          <w:rFonts w:hint="default" w:ascii="Times New Roman" w:hAnsi="Times New Roman" w:cs="Times New Roman"/>
          <w:color w:val="auto"/>
          <w:szCs w:val="21"/>
        </w:rPr>
        <w:t>19分者为不能自理。</w:t>
      </w:r>
    </w:p>
    <w:tbl>
      <w:tblPr>
        <w:tblStyle w:val="4"/>
        <w:tblW w:w="9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2"/>
        <w:gridCol w:w="1320"/>
        <w:gridCol w:w="1727"/>
        <w:gridCol w:w="1710"/>
        <w:gridCol w:w="1620"/>
        <w:gridCol w:w="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blHeader/>
          <w:jc w:val="center"/>
        </w:trPr>
        <w:tc>
          <w:tcPr>
            <w:tcW w:w="2562"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评估事项、内容</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与评分</w:t>
            </w:r>
          </w:p>
        </w:tc>
        <w:tc>
          <w:tcPr>
            <w:tcW w:w="7202" w:type="dxa"/>
            <w:gridSpan w:val="5"/>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程度等级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tblHeader/>
          <w:jc w:val="center"/>
        </w:trPr>
        <w:tc>
          <w:tcPr>
            <w:tcW w:w="2562" w:type="dxa"/>
            <w:vMerge w:val="continue"/>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黑体" w:hAnsi="黑体" w:eastAsia="黑体" w:cs="黑体"/>
                <w:b w:val="0"/>
                <w:bCs w:val="0"/>
                <w:color w:val="auto"/>
                <w:kern w:val="0"/>
                <w:szCs w:val="21"/>
              </w:rPr>
            </w:pPr>
          </w:p>
        </w:tc>
        <w:tc>
          <w:tcPr>
            <w:tcW w:w="132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可自理</w:t>
            </w:r>
          </w:p>
        </w:tc>
        <w:tc>
          <w:tcPr>
            <w:tcW w:w="1727"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轻度依赖</w:t>
            </w:r>
          </w:p>
        </w:tc>
        <w:tc>
          <w:tcPr>
            <w:tcW w:w="171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中度依赖</w:t>
            </w:r>
          </w:p>
        </w:tc>
        <w:tc>
          <w:tcPr>
            <w:tcW w:w="1620" w:type="dxa"/>
            <w:tcBorders>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不能自理</w:t>
            </w:r>
          </w:p>
        </w:tc>
        <w:tc>
          <w:tcPr>
            <w:tcW w:w="825" w:type="dxa"/>
            <w:tcBorders>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eastAsia" w:ascii="黑体" w:hAnsi="黑体" w:eastAsia="黑体" w:cs="黑体"/>
                <w:b w:val="0"/>
                <w:bCs w:val="0"/>
                <w:color w:val="auto"/>
                <w:kern w:val="0"/>
                <w:szCs w:val="21"/>
              </w:rPr>
            </w:pPr>
            <w:r>
              <w:rPr>
                <w:rFonts w:hint="eastAsia" w:ascii="黑体" w:hAnsi="黑体" w:eastAsia="黑体" w:cs="黑体"/>
                <w:b w:val="0"/>
                <w:bCs w:val="0"/>
                <w:color w:val="auto"/>
                <w:kern w:val="0"/>
                <w:szCs w:val="21"/>
              </w:rPr>
              <w:t>判断评分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进餐：使用餐具将饭菜送入口、咀嚼、吞咽等活动</w:t>
            </w:r>
          </w:p>
        </w:tc>
        <w:tc>
          <w:tcPr>
            <w:tcW w:w="132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独立完成</w:t>
            </w:r>
          </w:p>
        </w:tc>
        <w:tc>
          <w:tcPr>
            <w:tcW w:w="1727"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p>
        </w:tc>
        <w:tc>
          <w:tcPr>
            <w:tcW w:w="171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需要协助，如切碎、搅拌食物等</w:t>
            </w:r>
          </w:p>
        </w:tc>
        <w:tc>
          <w:tcPr>
            <w:tcW w:w="162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完全需要帮助</w:t>
            </w:r>
          </w:p>
        </w:tc>
        <w:tc>
          <w:tcPr>
            <w:tcW w:w="825" w:type="dxa"/>
            <w:vMerge w:val="restart"/>
            <w:tcBorders>
              <w:top w:val="single" w:color="auto" w:sz="4" w:space="0"/>
              <w:left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评分</w:t>
            </w:r>
          </w:p>
        </w:tc>
        <w:tc>
          <w:tcPr>
            <w:tcW w:w="132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27"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1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w:t>
            </w:r>
          </w:p>
        </w:tc>
        <w:tc>
          <w:tcPr>
            <w:tcW w:w="162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w:t>
            </w:r>
          </w:p>
        </w:tc>
        <w:tc>
          <w:tcPr>
            <w:tcW w:w="825" w:type="dxa"/>
            <w:vMerge w:val="continue"/>
            <w:tcBorders>
              <w:left w:val="single" w:color="auto" w:sz="4" w:space="0"/>
              <w:bottom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梳洗：梳头、洗脸、刷牙、剃须、洗澡等活动</w:t>
            </w:r>
          </w:p>
        </w:tc>
        <w:tc>
          <w:tcPr>
            <w:tcW w:w="132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独立完成</w:t>
            </w:r>
          </w:p>
        </w:tc>
        <w:tc>
          <w:tcPr>
            <w:tcW w:w="1727"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能独立地洗头、梳头、洗脸、刷牙、剃须等；洗澡需要协助</w:t>
            </w:r>
          </w:p>
        </w:tc>
        <w:tc>
          <w:tcPr>
            <w:tcW w:w="171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在协助下和适当的时间内，能完成部分梳洗活动</w:t>
            </w:r>
          </w:p>
        </w:tc>
        <w:tc>
          <w:tcPr>
            <w:tcW w:w="162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完全需要帮助</w:t>
            </w:r>
          </w:p>
        </w:tc>
        <w:tc>
          <w:tcPr>
            <w:tcW w:w="825" w:type="dxa"/>
            <w:vMerge w:val="restart"/>
            <w:tcBorders>
              <w:top w:val="single" w:color="auto" w:sz="4" w:space="0"/>
              <w:left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评分</w:t>
            </w:r>
          </w:p>
        </w:tc>
        <w:tc>
          <w:tcPr>
            <w:tcW w:w="132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27"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171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w:t>
            </w:r>
          </w:p>
        </w:tc>
        <w:tc>
          <w:tcPr>
            <w:tcW w:w="162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7</w:t>
            </w:r>
          </w:p>
        </w:tc>
        <w:tc>
          <w:tcPr>
            <w:tcW w:w="825" w:type="dxa"/>
            <w:vMerge w:val="continue"/>
            <w:tcBorders>
              <w:left w:val="single" w:color="auto" w:sz="4" w:space="0"/>
              <w:bottom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穿衣：穿衣裤、袜子、鞋子等活动</w:t>
            </w:r>
          </w:p>
        </w:tc>
        <w:tc>
          <w:tcPr>
            <w:tcW w:w="1320"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独立完成</w:t>
            </w:r>
          </w:p>
        </w:tc>
        <w:tc>
          <w:tcPr>
            <w:tcW w:w="1727" w:type="dxa"/>
            <w:tcBorders>
              <w:top w:val="single" w:color="auto" w:sz="4" w:space="0"/>
              <w:left w:val="single" w:color="auto" w:sz="4" w:space="0"/>
              <w:bottom w:val="nil"/>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w:t>
            </w:r>
          </w:p>
        </w:tc>
        <w:tc>
          <w:tcPr>
            <w:tcW w:w="171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需要协助，在适当的时间内完成部分穿衣</w:t>
            </w:r>
          </w:p>
        </w:tc>
        <w:tc>
          <w:tcPr>
            <w:tcW w:w="1620" w:type="dxa"/>
            <w:tcBorders>
              <w:top w:val="single" w:color="auto" w:sz="4" w:space="0"/>
              <w:left w:val="single" w:color="auto" w:sz="4" w:space="0"/>
              <w:bottom w:val="nil"/>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left"/>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完全需要帮助</w:t>
            </w:r>
          </w:p>
        </w:tc>
        <w:tc>
          <w:tcPr>
            <w:tcW w:w="825" w:type="dxa"/>
            <w:vMerge w:val="restart"/>
            <w:tcBorders>
              <w:top w:val="single" w:color="auto" w:sz="4" w:space="0"/>
              <w:left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评分</w:t>
            </w:r>
          </w:p>
        </w:tc>
        <w:tc>
          <w:tcPr>
            <w:tcW w:w="132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27"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1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3</w:t>
            </w:r>
          </w:p>
        </w:tc>
        <w:tc>
          <w:tcPr>
            <w:tcW w:w="1620" w:type="dxa"/>
            <w:tcBorders>
              <w:top w:val="nil"/>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w:t>
            </w:r>
          </w:p>
        </w:tc>
        <w:tc>
          <w:tcPr>
            <w:tcW w:w="825" w:type="dxa"/>
            <w:vMerge w:val="continue"/>
            <w:tcBorders>
              <w:left w:val="single" w:color="auto" w:sz="4" w:space="0"/>
              <w:bottom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如厕：小便、大便等活动及自控</w:t>
            </w:r>
          </w:p>
        </w:tc>
        <w:tc>
          <w:tcPr>
            <w:tcW w:w="1320" w:type="dxa"/>
            <w:tcBorders>
              <w:top w:val="single" w:color="auto" w:sz="4" w:space="0"/>
              <w:left w:val="single" w:color="auto" w:sz="4" w:space="0"/>
              <w:bottom w:val="nil"/>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不需协助，可自控</w:t>
            </w:r>
          </w:p>
        </w:tc>
        <w:tc>
          <w:tcPr>
            <w:tcW w:w="1727"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偶尔失禁，但基本上能如厕或使用便具</w:t>
            </w:r>
          </w:p>
        </w:tc>
        <w:tc>
          <w:tcPr>
            <w:tcW w:w="1710"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经常失禁，在很多提示和协助下尚能如厕或使用便具</w:t>
            </w:r>
          </w:p>
        </w:tc>
        <w:tc>
          <w:tcPr>
            <w:tcW w:w="1620"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完全失禁，完全需要帮助</w:t>
            </w:r>
          </w:p>
        </w:tc>
        <w:tc>
          <w:tcPr>
            <w:tcW w:w="825" w:type="dxa"/>
            <w:vMerge w:val="restart"/>
            <w:tcBorders>
              <w:top w:val="single" w:color="auto" w:sz="4" w:space="0"/>
              <w:left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nil"/>
              <w:left w:val="single" w:color="auto" w:sz="4" w:space="0"/>
              <w:bottom w:val="single" w:color="auto" w:sz="4" w:space="0"/>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评分</w:t>
            </w:r>
          </w:p>
        </w:tc>
        <w:tc>
          <w:tcPr>
            <w:tcW w:w="1320" w:type="dxa"/>
            <w:tcBorders>
              <w:top w:val="nil"/>
              <w:left w:val="single" w:color="auto" w:sz="4" w:space="0"/>
              <w:bottom w:val="single" w:color="auto" w:sz="4" w:space="0"/>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27" w:type="dxa"/>
            <w:tcBorders>
              <w:top w:val="nil"/>
              <w:left w:val="single" w:color="auto" w:sz="4" w:space="0"/>
              <w:bottom w:val="single" w:color="auto" w:sz="4" w:space="0"/>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1710" w:type="dxa"/>
            <w:tcBorders>
              <w:top w:val="nil"/>
              <w:left w:val="single" w:color="auto" w:sz="4" w:space="0"/>
              <w:bottom w:val="single" w:color="auto" w:sz="4" w:space="0"/>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w:t>
            </w:r>
          </w:p>
        </w:tc>
        <w:tc>
          <w:tcPr>
            <w:tcW w:w="1620" w:type="dxa"/>
            <w:tcBorders>
              <w:top w:val="nil"/>
              <w:left w:val="single" w:color="auto" w:sz="4" w:space="0"/>
              <w:bottom w:val="single" w:color="auto" w:sz="4" w:space="0"/>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10</w:t>
            </w:r>
          </w:p>
        </w:tc>
        <w:tc>
          <w:tcPr>
            <w:tcW w:w="825" w:type="dxa"/>
            <w:vMerge w:val="continue"/>
            <w:tcBorders>
              <w:left w:val="single" w:color="auto" w:sz="4" w:space="0"/>
              <w:bottom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活动：站立、室内行走、上下楼梯、户外活动</w:t>
            </w:r>
          </w:p>
        </w:tc>
        <w:tc>
          <w:tcPr>
            <w:tcW w:w="1320" w:type="dxa"/>
            <w:tcBorders>
              <w:top w:val="single" w:color="auto" w:sz="4" w:space="0"/>
              <w:left w:val="single" w:color="auto" w:sz="4" w:space="0"/>
              <w:bottom w:val="nil"/>
              <w:right w:val="single" w:color="auto" w:sz="4" w:space="0"/>
            </w:tcBorders>
            <w:noWrap w:val="0"/>
            <w:vAlign w:val="top"/>
          </w:tcPr>
          <w:p>
            <w:pPr>
              <w:widowControl/>
              <w:spacing w:line="38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独立完成所有活动</w:t>
            </w:r>
          </w:p>
        </w:tc>
        <w:tc>
          <w:tcPr>
            <w:tcW w:w="1727"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借助较小的外力或辅助装置能完成站立、行走、上下楼梯等</w:t>
            </w:r>
          </w:p>
        </w:tc>
        <w:tc>
          <w:tcPr>
            <w:tcW w:w="1710"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借助较大的外力才能完成站立、行走，不能上下楼梯</w:t>
            </w:r>
          </w:p>
        </w:tc>
        <w:tc>
          <w:tcPr>
            <w:tcW w:w="1620" w:type="dxa"/>
            <w:tcBorders>
              <w:top w:val="single" w:color="auto" w:sz="4" w:space="0"/>
              <w:left w:val="single" w:color="auto" w:sz="4" w:space="0"/>
              <w:bottom w:val="nil"/>
              <w:right w:val="single" w:color="auto" w:sz="4" w:space="0"/>
            </w:tcBorders>
            <w:noWrap w:val="0"/>
            <w:vAlign w:val="top"/>
          </w:tcPr>
          <w:p>
            <w:pPr>
              <w:widowControl/>
              <w:spacing w:line="380" w:lineRule="exact"/>
              <w:jc w:val="left"/>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卧床不起，活动完全需要帮助</w:t>
            </w:r>
          </w:p>
        </w:tc>
        <w:tc>
          <w:tcPr>
            <w:tcW w:w="825" w:type="dxa"/>
            <w:vMerge w:val="restart"/>
            <w:tcBorders>
              <w:top w:val="single" w:color="auto" w:sz="4" w:space="0"/>
              <w:left w:val="single" w:color="auto" w:sz="4" w:space="0"/>
              <w:right w:val="single" w:color="auto" w:sz="4" w:space="0"/>
            </w:tcBorders>
            <w:noWrap w:val="0"/>
            <w:vAlign w:val="top"/>
          </w:tcPr>
          <w:p>
            <w:pPr>
              <w:widowControl/>
              <w:spacing w:line="38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562" w:type="dxa"/>
            <w:tcBorders>
              <w:top w:val="nil"/>
              <w:left w:val="single" w:color="auto" w:sz="4" w:space="0"/>
              <w:bottom w:val="single" w:color="auto" w:sz="4" w:space="0"/>
              <w:right w:val="single" w:color="auto" w:sz="4" w:space="0"/>
            </w:tcBorders>
            <w:noWrap w:val="0"/>
            <w:vAlign w:val="top"/>
          </w:tcPr>
          <w:p>
            <w:pPr>
              <w:widowControl/>
              <w:spacing w:line="4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评分</w:t>
            </w:r>
          </w:p>
        </w:tc>
        <w:tc>
          <w:tcPr>
            <w:tcW w:w="1320" w:type="dxa"/>
            <w:tcBorders>
              <w:top w:val="nil"/>
              <w:left w:val="single" w:color="auto" w:sz="4" w:space="0"/>
              <w:bottom w:val="single" w:color="auto" w:sz="4" w:space="0"/>
              <w:right w:val="single" w:color="auto" w:sz="4" w:space="0"/>
            </w:tcBorders>
            <w:noWrap w:val="0"/>
            <w:vAlign w:val="top"/>
          </w:tcPr>
          <w:p>
            <w:pPr>
              <w:widowControl/>
              <w:spacing w:line="4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0</w:t>
            </w:r>
          </w:p>
        </w:tc>
        <w:tc>
          <w:tcPr>
            <w:tcW w:w="1727" w:type="dxa"/>
            <w:tcBorders>
              <w:top w:val="nil"/>
              <w:left w:val="single" w:color="auto" w:sz="4" w:space="0"/>
              <w:bottom w:val="single" w:color="auto" w:sz="4" w:space="0"/>
              <w:right w:val="single" w:color="auto" w:sz="4" w:space="0"/>
            </w:tcBorders>
            <w:noWrap w:val="0"/>
            <w:vAlign w:val="top"/>
          </w:tcPr>
          <w:p>
            <w:pPr>
              <w:widowControl/>
              <w:spacing w:line="4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w:t>
            </w:r>
          </w:p>
        </w:tc>
        <w:tc>
          <w:tcPr>
            <w:tcW w:w="1710" w:type="dxa"/>
            <w:tcBorders>
              <w:top w:val="nil"/>
              <w:left w:val="single" w:color="auto" w:sz="4" w:space="0"/>
              <w:bottom w:val="single" w:color="auto" w:sz="4" w:space="0"/>
              <w:right w:val="single" w:color="auto" w:sz="4" w:space="0"/>
            </w:tcBorders>
            <w:noWrap w:val="0"/>
            <w:vAlign w:val="top"/>
          </w:tcPr>
          <w:p>
            <w:pPr>
              <w:widowControl/>
              <w:spacing w:line="4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5</w:t>
            </w:r>
          </w:p>
        </w:tc>
        <w:tc>
          <w:tcPr>
            <w:tcW w:w="1620" w:type="dxa"/>
            <w:tcBorders>
              <w:top w:val="nil"/>
              <w:left w:val="single" w:color="auto" w:sz="4" w:space="0"/>
              <w:bottom w:val="single" w:color="auto" w:sz="4" w:space="0"/>
              <w:right w:val="single" w:color="auto" w:sz="4" w:space="0"/>
            </w:tcBorders>
            <w:noWrap w:val="0"/>
            <w:vAlign w:val="top"/>
          </w:tcPr>
          <w:p>
            <w:pPr>
              <w:widowControl/>
              <w:spacing w:line="4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10</w:t>
            </w:r>
          </w:p>
        </w:tc>
        <w:tc>
          <w:tcPr>
            <w:tcW w:w="825" w:type="dxa"/>
            <w:vMerge w:val="continue"/>
            <w:tcBorders>
              <w:left w:val="single" w:color="auto" w:sz="4" w:space="0"/>
              <w:right w:val="single" w:color="auto" w:sz="4" w:space="0"/>
            </w:tcBorders>
            <w:noWrap w:val="0"/>
            <w:vAlign w:val="top"/>
          </w:tcPr>
          <w:p>
            <w:pPr>
              <w:widowControl/>
              <w:spacing w:line="400" w:lineRule="exact"/>
              <w:jc w:val="right"/>
              <w:rPr>
                <w:rFonts w:hint="default" w:ascii="Times New Roman" w:hAnsi="Times New Roman" w:cs="Times New Roman"/>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39" w:type="dxa"/>
            <w:gridSpan w:val="5"/>
            <w:tcBorders>
              <w:top w:val="single" w:color="auto" w:sz="4" w:space="0"/>
              <w:left w:val="single" w:color="auto" w:sz="4" w:space="0"/>
              <w:bottom w:val="single" w:color="auto" w:sz="4" w:space="0"/>
              <w:right w:val="single" w:color="auto" w:sz="4" w:space="0"/>
            </w:tcBorders>
            <w:noWrap w:val="0"/>
            <w:vAlign w:val="top"/>
          </w:tcPr>
          <w:p>
            <w:pPr>
              <w:widowControl/>
              <w:spacing w:line="400" w:lineRule="exact"/>
              <w:jc w:val="center"/>
              <w:rPr>
                <w:rFonts w:hint="default" w:ascii="Times New Roman" w:hAnsi="Times New Roman" w:cs="Times New Roman"/>
                <w:color w:val="auto"/>
                <w:kern w:val="0"/>
                <w:szCs w:val="21"/>
              </w:rPr>
            </w:pPr>
            <w:r>
              <w:rPr>
                <w:rFonts w:hint="default" w:ascii="Times New Roman" w:hAnsi="Times New Roman" w:cs="Times New Roman"/>
                <w:color w:val="auto"/>
                <w:kern w:val="0"/>
                <w:szCs w:val="21"/>
              </w:rPr>
              <w:t>总得分</w:t>
            </w:r>
          </w:p>
        </w:tc>
        <w:tc>
          <w:tcPr>
            <w:tcW w:w="825" w:type="dxa"/>
            <w:tcBorders>
              <w:left w:val="single" w:color="auto" w:sz="4" w:space="0"/>
              <w:right w:val="single" w:color="auto" w:sz="4" w:space="0"/>
            </w:tcBorders>
            <w:noWrap w:val="0"/>
            <w:vAlign w:val="top"/>
          </w:tcPr>
          <w:p>
            <w:pPr>
              <w:widowControl/>
              <w:spacing w:line="400" w:lineRule="exact"/>
              <w:jc w:val="right"/>
              <w:rPr>
                <w:rFonts w:hint="default" w:ascii="Times New Roman" w:hAnsi="Times New Roman" w:cs="Times New Roman"/>
                <w:color w:val="auto"/>
                <w:kern w:val="0"/>
                <w:szCs w:val="21"/>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br w:type="page"/>
      </w:r>
      <w:r>
        <w:rPr>
          <w:rFonts w:hint="default" w:ascii="Times New Roman" w:hAnsi="Times New Roman" w:eastAsia="黑体" w:cs="Times New Roman"/>
          <w:bCs/>
          <w:color w:val="auto"/>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慢性心功能衰竭（NYHA心功能分级）评分表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auto"/>
          <w:sz w:val="36"/>
          <w:szCs w:val="36"/>
        </w:rPr>
      </w:pPr>
    </w:p>
    <w:p>
      <w:pPr>
        <w:keepNext w:val="0"/>
        <w:keepLines w:val="0"/>
        <w:pageBreakBefore w:val="0"/>
        <w:widowControl/>
        <w:kinsoku/>
        <w:wordWrap/>
        <w:overflowPunct/>
        <w:topLinePunct w:val="0"/>
        <w:autoSpaceDE/>
        <w:autoSpaceDN/>
        <w:bidi w:val="0"/>
        <w:adjustRightInd/>
        <w:snapToGrid/>
        <w:spacing w:line="560" w:lineRule="exact"/>
        <w:ind w:firstLine="236" w:firstLineChars="1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24"/>
        </w:rPr>
        <w:t>姓名：            性别：       年龄：       居家号/ID号：</w:t>
      </w:r>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7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top"/>
          </w:tcPr>
          <w:p>
            <w:pPr>
              <w:widowControl/>
              <w:jc w:val="left"/>
              <w:rPr>
                <w:rFonts w:hint="eastAsia" w:ascii="黑体" w:hAnsi="黑体" w:eastAsia="黑体" w:cs="黑体"/>
                <w:bCs/>
                <w:color w:val="auto"/>
                <w:sz w:val="32"/>
                <w:szCs w:val="32"/>
              </w:rPr>
            </w:pPr>
            <w:r>
              <w:rPr>
                <w:rFonts w:hint="eastAsia" w:ascii="黑体" w:hAnsi="黑体" w:eastAsia="黑体" w:cs="黑体"/>
                <w:bCs/>
                <w:color w:val="auto"/>
                <w:sz w:val="32"/>
                <w:szCs w:val="32"/>
              </w:rPr>
              <w:t>分级</w:t>
            </w:r>
          </w:p>
        </w:tc>
        <w:tc>
          <w:tcPr>
            <w:tcW w:w="7563" w:type="dxa"/>
            <w:noWrap w:val="0"/>
            <w:vAlign w:val="top"/>
          </w:tcPr>
          <w:p>
            <w:pPr>
              <w:widowControl/>
              <w:jc w:val="left"/>
              <w:rPr>
                <w:rFonts w:hint="eastAsia" w:ascii="黑体" w:hAnsi="黑体" w:eastAsia="黑体" w:cs="黑体"/>
                <w:bCs/>
                <w:color w:val="auto"/>
                <w:sz w:val="32"/>
                <w:szCs w:val="32"/>
              </w:rPr>
            </w:pPr>
            <w:r>
              <w:rPr>
                <w:rFonts w:hint="eastAsia" w:ascii="黑体" w:hAnsi="黑体" w:eastAsia="黑体" w:cs="黑体"/>
                <w:bCs/>
                <w:color w:val="auto"/>
                <w:sz w:val="32"/>
                <w:szCs w:val="32"/>
              </w:rPr>
              <w:t>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I</w:t>
            </w:r>
          </w:p>
        </w:tc>
        <w:tc>
          <w:tcPr>
            <w:tcW w:w="7563"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活动不受限。日常体力活动不引起明显的气促、疲劳或心悸。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II</w:t>
            </w:r>
          </w:p>
        </w:tc>
        <w:tc>
          <w:tcPr>
            <w:tcW w:w="7563"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活动轻度受限。休息时无症状，日常活动可引起明显的气促、疲劳或心悸。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III</w:t>
            </w:r>
          </w:p>
        </w:tc>
        <w:tc>
          <w:tcPr>
            <w:tcW w:w="7563"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活动明显受限。休息时可无症状，轻于日常活动即引起显著的气促、疲劳、心悸。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IV</w:t>
            </w:r>
          </w:p>
        </w:tc>
        <w:tc>
          <w:tcPr>
            <w:tcW w:w="7563"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休息时也有症状，任何体力活动均会引起不适。如无需静脉给药，可在室内或床边活动者为IVa级；不能下床并需静脉给药支持者为IVb级。</w:t>
            </w:r>
          </w:p>
        </w:tc>
      </w:tr>
    </w:tbl>
    <w:p>
      <w:pPr>
        <w:keepNext w:val="0"/>
        <w:keepLines w:val="0"/>
        <w:pageBreakBefore w:val="0"/>
        <w:widowControl/>
        <w:kinsoku/>
        <w:wordWrap/>
        <w:overflowPunct/>
        <w:topLinePunct w:val="0"/>
        <w:autoSpaceDE/>
        <w:autoSpaceDN/>
        <w:bidi w:val="0"/>
        <w:adjustRightInd/>
        <w:snapToGrid/>
        <w:spacing w:line="560" w:lineRule="exact"/>
        <w:ind w:right="482" w:firstLine="944" w:firstLineChars="400"/>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总评分：心功能     级</w:t>
      </w:r>
    </w:p>
    <w:p>
      <w:pPr>
        <w:keepNext w:val="0"/>
        <w:keepLines w:val="0"/>
        <w:pageBreakBefore w:val="0"/>
        <w:widowControl/>
        <w:kinsoku/>
        <w:wordWrap/>
        <w:overflowPunct/>
        <w:topLinePunct w:val="0"/>
        <w:autoSpaceDE/>
        <w:autoSpaceDN/>
        <w:bidi w:val="0"/>
        <w:adjustRightInd/>
        <w:snapToGrid/>
        <w:spacing w:line="560" w:lineRule="exact"/>
        <w:ind w:right="482" w:firstLine="5782" w:firstLineChars="2450"/>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评估医师：</w:t>
      </w:r>
    </w:p>
    <w:p>
      <w:pPr>
        <w:keepNext w:val="0"/>
        <w:keepLines w:val="0"/>
        <w:pageBreakBefore w:val="0"/>
        <w:widowControl/>
        <w:kinsoku/>
        <w:wordWrap/>
        <w:overflowPunct/>
        <w:topLinePunct w:val="0"/>
        <w:autoSpaceDE/>
        <w:autoSpaceDN/>
        <w:bidi w:val="0"/>
        <w:adjustRightInd/>
        <w:snapToGrid/>
        <w:spacing w:line="560" w:lineRule="exact"/>
        <w:ind w:right="482" w:firstLine="5782" w:firstLineChars="2450"/>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日期：</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仿宋_GB2312" w:cs="Times New Roman"/>
          <w:bCs/>
          <w:color w:val="auto"/>
          <w:sz w:val="32"/>
          <w:szCs w:val="32"/>
        </w:rPr>
        <w:br w:type="page"/>
      </w:r>
      <w:r>
        <w:rPr>
          <w:rFonts w:hint="default" w:ascii="Times New Roman" w:hAnsi="Times New Roman" w:eastAsia="黑体" w:cs="Times New Roman"/>
          <w:bCs/>
          <w:color w:val="auto"/>
          <w:sz w:val="32"/>
          <w:szCs w:val="32"/>
        </w:rPr>
        <w:t>附件3</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慢性阻塞性肺疾病（mMRC分级）评分表</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auto"/>
          <w:sz w:val="36"/>
          <w:szCs w:val="36"/>
        </w:rPr>
      </w:pP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楷体_GB2312" w:hAnsi="楷体_GB2312" w:eastAsia="楷体_GB2312" w:cs="楷体_GB2312"/>
          <w:bCs/>
          <w:color w:val="auto"/>
          <w:sz w:val="32"/>
          <w:szCs w:val="32"/>
        </w:rPr>
      </w:pPr>
      <w:r>
        <w:rPr>
          <w:rFonts w:hint="eastAsia" w:ascii="楷体_GB2312" w:hAnsi="楷体_GB2312" w:eastAsia="楷体_GB2312" w:cs="楷体_GB2312"/>
          <w:bCs/>
          <w:color w:val="auto"/>
          <w:sz w:val="32"/>
          <w:szCs w:val="32"/>
        </w:rPr>
        <w:t>（改良版英国医学研究委员会呼吸困难问卷）</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236" w:firstLineChars="100"/>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24"/>
        </w:rPr>
        <w:t>姓名：            性别：       年龄：       居家号/ID号：</w:t>
      </w:r>
    </w:p>
    <w:tbl>
      <w:tblPr>
        <w:tblStyle w:val="4"/>
        <w:tblW w:w="8942" w:type="dxa"/>
        <w:jc w:val="center"/>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6"/>
        <w:gridCol w:w="69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6" w:type="dxa"/>
            <w:noWrap w:val="0"/>
            <w:vAlign w:val="top"/>
          </w:tcPr>
          <w:p>
            <w:pPr>
              <w:widowControl/>
              <w:jc w:val="left"/>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mMRC分级</w:t>
            </w:r>
          </w:p>
        </w:tc>
        <w:tc>
          <w:tcPr>
            <w:tcW w:w="6996" w:type="dxa"/>
            <w:noWrap w:val="0"/>
            <w:vAlign w:val="top"/>
          </w:tcPr>
          <w:p>
            <w:pPr>
              <w:widowControl/>
              <w:jc w:val="left"/>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呼吸困难症状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6"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0级</w:t>
            </w:r>
          </w:p>
        </w:tc>
        <w:tc>
          <w:tcPr>
            <w:tcW w:w="6996"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剧烈活动时出现呼吸困难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6"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1级</w:t>
            </w:r>
          </w:p>
        </w:tc>
        <w:tc>
          <w:tcPr>
            <w:tcW w:w="6996"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平地快步行走或爬缓坡时出现呼吸困难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6"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2级</w:t>
            </w:r>
          </w:p>
        </w:tc>
        <w:tc>
          <w:tcPr>
            <w:tcW w:w="6996"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由于呼吸困难，平地行走时比同龄人慢或需要停下来休息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6"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3级</w:t>
            </w:r>
          </w:p>
        </w:tc>
        <w:tc>
          <w:tcPr>
            <w:tcW w:w="6996"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平地行走100米左右或数分钟后即需要停下来喘气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46" w:type="dxa"/>
            <w:noWrap w:val="0"/>
            <w:vAlign w:val="top"/>
          </w:tcPr>
          <w:p>
            <w:pPr>
              <w:widowControl/>
              <w:jc w:val="center"/>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4级</w:t>
            </w:r>
          </w:p>
        </w:tc>
        <w:tc>
          <w:tcPr>
            <w:tcW w:w="6996" w:type="dxa"/>
            <w:noWrap w:val="0"/>
            <w:vAlign w:val="top"/>
          </w:tcPr>
          <w:p>
            <w:pPr>
              <w:widowControl/>
              <w:jc w:val="left"/>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因严重呼吸困难而不能离开家，或在穿衣脱衣时即出现呼吸困难</w:t>
            </w:r>
          </w:p>
        </w:tc>
      </w:tr>
    </w:tbl>
    <w:p>
      <w:pPr>
        <w:keepNext w:val="0"/>
        <w:keepLines w:val="0"/>
        <w:pageBreakBefore w:val="0"/>
        <w:widowControl/>
        <w:kinsoku/>
        <w:wordWrap/>
        <w:overflowPunct/>
        <w:topLinePunct w:val="0"/>
        <w:autoSpaceDE/>
        <w:autoSpaceDN/>
        <w:bidi w:val="0"/>
        <w:adjustRightInd/>
        <w:snapToGrid/>
        <w:spacing w:line="560" w:lineRule="exact"/>
        <w:ind w:right="0" w:firstLine="472" w:firstLineChars="200"/>
        <w:jc w:val="left"/>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总评分：       级</w:t>
      </w:r>
    </w:p>
    <w:p>
      <w:pPr>
        <w:keepNext w:val="0"/>
        <w:keepLines w:val="0"/>
        <w:pageBreakBefore w:val="0"/>
        <w:widowControl/>
        <w:kinsoku/>
        <w:wordWrap/>
        <w:overflowPunct/>
        <w:topLinePunct w:val="0"/>
        <w:autoSpaceDE/>
        <w:autoSpaceDN/>
        <w:bidi w:val="0"/>
        <w:adjustRightInd/>
        <w:snapToGrid/>
        <w:spacing w:line="560" w:lineRule="exact"/>
        <w:ind w:right="0" w:firstLine="5782" w:firstLineChars="2450"/>
        <w:textAlignment w:val="auto"/>
        <w:rPr>
          <w:rFonts w:hint="default" w:ascii="Times New Roman" w:hAnsi="Times New Roman" w:eastAsia="仿宋_GB2312" w:cs="Times New Roman"/>
          <w:bCs/>
          <w:color w:val="auto"/>
          <w:sz w:val="24"/>
          <w:szCs w:val="24"/>
        </w:rPr>
      </w:pPr>
      <w:r>
        <w:rPr>
          <w:rFonts w:hint="default" w:ascii="Times New Roman" w:hAnsi="Times New Roman" w:eastAsia="仿宋_GB2312" w:cs="Times New Roman"/>
          <w:bCs/>
          <w:color w:val="auto"/>
          <w:sz w:val="24"/>
          <w:szCs w:val="24"/>
        </w:rPr>
        <w:t>评估医师：</w:t>
      </w:r>
    </w:p>
    <w:p>
      <w:pPr>
        <w:keepNext w:val="0"/>
        <w:keepLines w:val="0"/>
        <w:pageBreakBefore w:val="0"/>
        <w:widowControl/>
        <w:kinsoku/>
        <w:wordWrap/>
        <w:overflowPunct/>
        <w:topLinePunct w:val="0"/>
        <w:autoSpaceDE/>
        <w:autoSpaceDN/>
        <w:bidi w:val="0"/>
        <w:adjustRightInd/>
        <w:snapToGrid/>
        <w:spacing w:line="560" w:lineRule="exact"/>
        <w:ind w:right="0" w:firstLine="5782" w:firstLineChars="2450"/>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szCs w:val="24"/>
        </w:rPr>
        <w:t>日期：</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仿宋_GB2312" w:cs="Times New Roman"/>
          <w:bCs/>
          <w:color w:val="auto"/>
          <w:sz w:val="32"/>
          <w:szCs w:val="32"/>
        </w:rPr>
        <w:br w:type="page"/>
      </w:r>
      <w:r>
        <w:rPr>
          <w:rFonts w:hint="default" w:ascii="Times New Roman" w:hAnsi="Times New Roman" w:eastAsia="黑体" w:cs="Times New Roman"/>
          <w:color w:val="auto"/>
          <w:sz w:val="32"/>
          <w:szCs w:val="32"/>
          <w:shd w:val="clear" w:color="auto" w:fill="FFFFFF"/>
        </w:rPr>
        <w:t>附件4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color w:val="auto"/>
          <w:sz w:val="32"/>
          <w:szCs w:val="32"/>
          <w:shd w:val="clear" w:color="auto" w:fill="FFFFFF"/>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平衡能力测试表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bCs/>
          <w:color w:val="auto"/>
          <w:sz w:val="36"/>
          <w:szCs w:val="36"/>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姓名：            性别：       年龄：       居家号/ID号：</w:t>
      </w:r>
    </w:p>
    <w:tbl>
      <w:tblPr>
        <w:tblStyle w:val="4"/>
        <w:tblW w:w="8992" w:type="dxa"/>
        <w:jc w:val="center"/>
        <w:tblInd w:w="-101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7"/>
        <w:gridCol w:w="1500"/>
        <w:gridCol w:w="2279"/>
        <w:gridCol w:w="25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c>
          <w:tcPr>
            <w:tcW w:w="1500" w:type="dxa"/>
            <w:noWrap w:val="0"/>
            <w:vAlign w:val="top"/>
          </w:tcPr>
          <w:p>
            <w:pPr>
              <w:spacing w:line="360" w:lineRule="auto"/>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站起测验</w:t>
            </w:r>
          </w:p>
        </w:tc>
        <w:tc>
          <w:tcPr>
            <w:tcW w:w="2279" w:type="dxa"/>
            <w:noWrap w:val="0"/>
            <w:vAlign w:val="top"/>
          </w:tcPr>
          <w:p>
            <w:pPr>
              <w:spacing w:line="360" w:lineRule="auto"/>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起立行走测验</w:t>
            </w:r>
          </w:p>
        </w:tc>
        <w:tc>
          <w:tcPr>
            <w:tcW w:w="2506" w:type="dxa"/>
            <w:noWrap w:val="0"/>
            <w:vAlign w:val="top"/>
          </w:tcPr>
          <w:p>
            <w:pPr>
              <w:spacing w:line="360" w:lineRule="auto"/>
              <w:jc w:val="left"/>
              <w:rPr>
                <w:rFonts w:hint="eastAsia" w:ascii="黑体" w:hAnsi="黑体" w:eastAsia="黑体" w:cs="黑体"/>
                <w:color w:val="auto"/>
                <w:sz w:val="32"/>
                <w:szCs w:val="32"/>
                <w:shd w:val="clear" w:color="auto" w:fill="FFFFFF"/>
              </w:rPr>
            </w:pPr>
            <w:r>
              <w:rPr>
                <w:rFonts w:hint="eastAsia" w:ascii="黑体" w:hAnsi="黑体" w:eastAsia="黑体" w:cs="黑体"/>
                <w:color w:val="auto"/>
                <w:sz w:val="32"/>
                <w:szCs w:val="32"/>
                <w:shd w:val="clear" w:color="auto" w:fill="FFFFFF"/>
              </w:rPr>
              <w:t>走直线步态测试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707"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跌倒风险（高/低）</w:t>
            </w:r>
          </w:p>
        </w:tc>
        <w:tc>
          <w:tcPr>
            <w:tcW w:w="1500"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c>
          <w:tcPr>
            <w:tcW w:w="2279"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c>
          <w:tcPr>
            <w:tcW w:w="2506" w:type="dxa"/>
            <w:noWrap w:val="0"/>
            <w:vAlign w:val="top"/>
          </w:tcPr>
          <w:p>
            <w:pPr>
              <w:spacing w:line="360" w:lineRule="auto"/>
              <w:jc w:val="left"/>
              <w:rPr>
                <w:rFonts w:hint="default" w:ascii="Times New Roman" w:hAnsi="Times New Roman" w:eastAsia="仿宋_GB2312" w:cs="Times New Roman"/>
                <w:color w:val="auto"/>
                <w:sz w:val="32"/>
                <w:szCs w:val="32"/>
                <w:shd w:val="clear" w:color="auto" w:fill="FFFFFF"/>
              </w:rPr>
            </w:pPr>
          </w:p>
        </w:tc>
      </w:tr>
    </w:tbl>
    <w:p>
      <w:pPr>
        <w:keepNext w:val="0"/>
        <w:keepLines w:val="0"/>
        <w:pageBreakBefore w:val="0"/>
        <w:widowControl w:val="0"/>
        <w:kinsoku/>
        <w:wordWrap/>
        <w:overflowPunct/>
        <w:topLinePunct w:val="0"/>
        <w:autoSpaceDE/>
        <w:autoSpaceDN/>
        <w:bidi w:val="0"/>
        <w:adjustRightInd/>
        <w:snapToGrid/>
        <w:spacing w:line="560" w:lineRule="exact"/>
        <w:ind w:right="1440"/>
        <w:jc w:val="right"/>
        <w:textAlignment w:val="auto"/>
        <w:rPr>
          <w:rFonts w:hint="default" w:ascii="Times New Roman" w:hAnsi="Times New Roman" w:eastAsia="仿宋_GB2312" w:cs="Times New Roman"/>
          <w:color w:val="auto"/>
          <w:sz w:val="24"/>
          <w:shd w:val="clear" w:color="auto" w:fill="FFFFFF"/>
        </w:rPr>
      </w:pPr>
      <w:r>
        <w:rPr>
          <w:rFonts w:hint="default" w:ascii="Times New Roman" w:hAnsi="Times New Roman" w:eastAsia="仿宋_GB2312" w:cs="Times New Roman"/>
          <w:color w:val="auto"/>
          <w:sz w:val="24"/>
          <w:shd w:val="clear" w:color="auto" w:fill="FFFFFF"/>
        </w:rPr>
        <w:t>评估人员：</w:t>
      </w:r>
    </w:p>
    <w:p>
      <w:pPr>
        <w:keepNext w:val="0"/>
        <w:keepLines w:val="0"/>
        <w:pageBreakBefore w:val="0"/>
        <w:widowControl w:val="0"/>
        <w:kinsoku/>
        <w:wordWrap/>
        <w:overflowPunct/>
        <w:topLinePunct w:val="0"/>
        <w:autoSpaceDE/>
        <w:autoSpaceDN/>
        <w:bidi w:val="0"/>
        <w:adjustRightInd/>
        <w:snapToGrid/>
        <w:spacing w:line="560" w:lineRule="exact"/>
        <w:ind w:right="1440"/>
        <w:jc w:val="right"/>
        <w:textAlignment w:val="auto"/>
        <w:rPr>
          <w:rFonts w:hint="default" w:ascii="Times New Roman" w:hAnsi="Times New Roman" w:eastAsia="仿宋_GB2312" w:cs="Times New Roman"/>
          <w:color w:val="auto"/>
          <w:sz w:val="24"/>
          <w:shd w:val="clear" w:color="auto" w:fill="FFFFFF"/>
        </w:rPr>
      </w:pPr>
      <w:r>
        <w:rPr>
          <w:rFonts w:hint="default" w:ascii="Times New Roman" w:hAnsi="Times New Roman" w:eastAsia="仿宋_GB2312" w:cs="Times New Roman"/>
          <w:color w:val="auto"/>
          <w:sz w:val="24"/>
          <w:shd w:val="clear" w:color="auto" w:fill="FFFFFF"/>
        </w:rPr>
        <w:t>评估日期：</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both"/>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站起测验（Chair Rising Test,简称CRT）：</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（1）所用工具：有扶手的椅子、秒表</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（2）测量环境：安静宽敞，地平、坚固</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测量方法：受试者坐在椅子的前2/3处，后背不用靠在椅背上，双臂交叉抱于胸前，快速从普通高度的椅子（座位高约48厘米）上站立并坐下5次，臀部离开椅子时开始计时，记录到第5次坐下时臀部接触到椅子所用的时间（秒）。</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结果判定：如受试者不能完成5次起立或完成此项测试的时间&gt;10秒，表明下肢肌力减弱，判断为跌倒风险高，并记录其正确完成起立的次数，如3/5；如受试者完成此5次起立的时间≤10秒，判断为跌倒风险低。</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注意事项：受试者双臂交叉放在胸前，双脚自然放在地面，尽可能快地站立并坐下，不允许采用手臂支撑，不允许使用助行工具，也不能将手臂放在膝盖上，站立时尽量保持直立。整个过程中受试者的后背不用接触椅子靠背。如果测试过程中老人出现头晕、眼前发黑的情况，则立刻停止测试，并解释可能是由于快速的体位改变引起的直立性低血压，休息一会就会缓解。等老人休息恢复后，如果老人觉得还可以则可以继续测试，并嘱咐老人用自己比较舒适的速度，不要求快。</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起立行走测验（Timed Up and Go Test,简称TUG）：</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（1）所用工具：一把有扶手的椅子、秒表</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（2）测量环境：地面平整坚固，宽≥3米</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（3）测量方法：受试者穿平常穿的鞋, 坐在有扶手的靠背椅上（座位高约48厘米，扶手高约68厘米）, 身体靠在椅背上, 双手放在扶手上。如使用助行工具( 如拐杖、助行器等) , 则将助行具握在手中。在离座椅3米远的地面上贴一条彩条或划一条可见的粗线或放一个明显的标记物。当测试者发出“开始”的指令后, 患者从靠背椅上站起。站稳后, 按照平时走路的步态, 向前走3米, 过粗线或标记物处后转身, 然后走回到椅子前, 再转身坐下, 靠到椅背上。测试过程中不能给予任何躯体的帮助。测试者记录患者背部离开椅背到再次坐下(靠到椅背) 所用的时间(以秒为单位)。</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（4）结果判定：如受试者完成该测验所需的时间&gt;12秒，判断为跌倒风险高；如完成此项测试的时间≤12秒，判断为跌倒风险低。</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注意事项：受试者可以借助扶手从椅子上站起来，步行时尽可能与平常一样，行走中允许使用来自自身的辅助手段，但不允许接受来自他人的帮助。测试过程中最好有两位调查员跟在老人的身体两侧做好保护，防止跌倒。</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走直线步态测试（Tandem Gait Test，简称TGT）：</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（1）所用工具：用尺子或者有颜色的胶带在平整的地面上标记出约10厘米宽3米长的步行带。</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（2）测量环境要求：安静宽敞，地表水平、坚固。</w:t>
      </w:r>
    </w:p>
    <w:p>
      <w:pPr>
        <w:keepNext w:val="0"/>
        <w:keepLines w:val="0"/>
        <w:pageBreakBefore w:val="0"/>
        <w:widowControl w:val="0"/>
        <w:kinsoku/>
        <w:wordWrap/>
        <w:overflowPunct/>
        <w:topLinePunct w:val="0"/>
        <w:autoSpaceDE/>
        <w:autoSpaceDN/>
        <w:bidi w:val="0"/>
        <w:adjustRightInd/>
        <w:snapToGrid/>
        <w:spacing w:line="540" w:lineRule="exact"/>
        <w:ind w:right="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测量方法：该测试从侧面观察姿势的情况，受试者在指定步行带上从直线串联式姿势开始，一只脚放在另一只脚前面，两脚距离不超过1厘米。记录可以正确行走的步数，如受试者可以在直线上行走8步，其中6步为正确行走，记录为6/8。测试过程中允许使用助行工具（如拐杖、助行器等）。</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（3）错误的步伐为：1.两只脚的左右间距超过一个脚的宽度（见下图）；2.前脚后跟没有超过后脚脚尖（往前迈少了）；3.前脚后跟与后脚脚尖之间的缝隙超过1cm （往前迈多了）。</w:t>
      </w:r>
    </w:p>
    <w:p>
      <w:pPr>
        <w:keepNext w:val="0"/>
        <w:keepLines w:val="0"/>
        <w:pageBreakBefore w:val="0"/>
        <w:widowControl w:val="0"/>
        <w:kinsoku/>
        <w:wordWrap/>
        <w:overflowPunct/>
        <w:topLinePunct w:val="0"/>
        <w:autoSpaceDE/>
        <w:autoSpaceDN/>
        <w:bidi w:val="0"/>
        <w:adjustRightInd/>
        <w:snapToGrid/>
        <w:spacing w:line="540" w:lineRule="exact"/>
        <w:ind w:right="0" w:firstLine="632"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（4）结果判定：如受试者完成此项测试结果&lt;8/8，表明平衡能力差，判断为跌倒风险高；如受试者完成此项测试结果≥8/8，判断为跌倒风险低。</w:t>
      </w:r>
    </w:p>
    <w:p>
      <w:pPr>
        <w:keepNext w:val="0"/>
        <w:keepLines w:val="0"/>
        <w:pageBreakBefore w:val="0"/>
        <w:widowControl w:val="0"/>
        <w:tabs>
          <w:tab w:val="left" w:pos="653"/>
        </w:tabs>
        <w:kinsoku/>
        <w:wordWrap/>
        <w:overflowPunct/>
        <w:topLinePunct w:val="0"/>
        <w:autoSpaceDE/>
        <w:autoSpaceDN/>
        <w:bidi w:val="0"/>
        <w:adjustRightInd/>
        <w:snapToGrid/>
        <w:spacing w:line="540" w:lineRule="exact"/>
        <w:ind w:right="0" w:firstLine="0" w:firstLineChars="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lang w:val="en-US" w:eastAsia="zh-CN"/>
        </w:rPr>
        <w:t xml:space="preserve">    </w:t>
      </w:r>
      <w:r>
        <w:rPr>
          <w:rFonts w:hint="default" w:ascii="Times New Roman" w:hAnsi="Times New Roman" w:eastAsia="仿宋_GB2312" w:cs="Times New Roman"/>
          <w:color w:val="auto"/>
          <w:sz w:val="32"/>
          <w:szCs w:val="32"/>
          <w:shd w:val="clear" w:color="auto" w:fill="FFFFFF"/>
        </w:rPr>
        <w:t>（5）注意事项：测试前进行解释并演示一次，演示之后，进行一次指导性尝试，确保受试者已经正确理解整个测试过程。测试过程中最好有两位调查员跟在老人的身体两侧做好保护，防止跌倒。</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eastAsia="黑体" w:cs="Times New Roman"/>
          <w:snapToGrid/>
          <w:color w:val="auto"/>
          <w:kern w:val="2"/>
          <w:sz w:val="32"/>
          <w:szCs w:val="32"/>
          <w:shd w:val="clear" w:color="auto" w:fill="FFFFFF"/>
        </w:rPr>
      </w:pPr>
      <w:r>
        <w:rPr>
          <w:rFonts w:hint="default" w:ascii="Times New Roman" w:hAnsi="Times New Roman" w:eastAsia="黑体" w:cs="Times New Roman"/>
          <w:snapToGrid w:val="0"/>
          <w:color w:val="auto"/>
          <w:kern w:val="0"/>
          <w:sz w:val="32"/>
          <w:szCs w:val="32"/>
        </w:rPr>
        <w:t>附件</w:t>
      </w:r>
      <w:r>
        <w:rPr>
          <w:rFonts w:hint="default" w:ascii="Times New Roman" w:hAnsi="Times New Roman" w:eastAsia="黑体" w:cs="Times New Roman"/>
          <w:snapToGrid/>
          <w:color w:val="auto"/>
          <w:kern w:val="2"/>
          <w:sz w:val="32"/>
          <w:szCs w:val="32"/>
          <w:shd w:val="clear" w:color="auto" w:fill="FFFFFF"/>
        </w:rPr>
        <w:t>5</w:t>
      </w:r>
    </w:p>
    <w:p>
      <w:pPr>
        <w:keepNext w:val="0"/>
        <w:keepLines w:val="0"/>
        <w:pageBreakBefore w:val="0"/>
        <w:widowControl w:val="0"/>
        <w:kinsoku/>
        <w:wordWrap/>
        <w:overflowPunct/>
        <w:topLinePunct w:val="0"/>
        <w:autoSpaceDE/>
        <w:autoSpaceDN/>
        <w:bidi w:val="0"/>
        <w:adjustRightInd/>
        <w:snapToGrid/>
        <w:spacing w:before="118" w:beforeLines="20" w:after="234" w:afterLines="40"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广东省家庭医生签约老年人基本服务包</w:t>
      </w:r>
    </w:p>
    <w:tbl>
      <w:tblPr>
        <w:tblStyle w:val="4"/>
        <w:tblW w:w="8732" w:type="dxa"/>
        <w:jc w:val="center"/>
        <w:tblInd w:w="0" w:type="dxa"/>
        <w:tblLayout w:type="fixed"/>
        <w:tblCellMar>
          <w:top w:w="0" w:type="dxa"/>
          <w:left w:w="108" w:type="dxa"/>
          <w:bottom w:w="0" w:type="dxa"/>
          <w:right w:w="108" w:type="dxa"/>
        </w:tblCellMar>
      </w:tblPr>
      <w:tblGrid>
        <w:gridCol w:w="456"/>
        <w:gridCol w:w="1290"/>
        <w:gridCol w:w="3342"/>
        <w:gridCol w:w="675"/>
        <w:gridCol w:w="687"/>
        <w:gridCol w:w="2282"/>
      </w:tblGrid>
      <w:tr>
        <w:tblPrEx>
          <w:tblLayout w:type="fixed"/>
          <w:tblCellMar>
            <w:top w:w="0" w:type="dxa"/>
            <w:left w:w="108" w:type="dxa"/>
            <w:bottom w:w="0" w:type="dxa"/>
            <w:right w:w="108" w:type="dxa"/>
          </w:tblCellMar>
        </w:tblPrEx>
        <w:trPr>
          <w:trHeight w:val="350" w:hRule="atLeast"/>
          <w:tblHeader/>
          <w:jc w:val="center"/>
        </w:trPr>
        <w:tc>
          <w:tcPr>
            <w:tcW w:w="456" w:type="dxa"/>
            <w:vMerge w:val="restart"/>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黑体" w:hAnsi="黑体" w:eastAsia="黑体" w:cs="黑体"/>
                <w:color w:val="auto"/>
                <w:sz w:val="21"/>
                <w:szCs w:val="21"/>
              </w:rPr>
            </w:pPr>
            <w:r>
              <w:rPr>
                <w:rFonts w:hint="default" w:ascii="Times New Roman" w:hAnsi="Times New Roman" w:eastAsia="宋体" w:cs="Times New Roman"/>
                <w:color w:val="auto"/>
                <w:sz w:val="30"/>
                <w:szCs w:val="30"/>
              </w:rPr>
              <w:t>老年人</w:t>
            </w:r>
          </w:p>
        </w:tc>
        <w:tc>
          <w:tcPr>
            <w:tcW w:w="12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基本公共</w:t>
            </w:r>
          </w:p>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卫生项目包</w:t>
            </w:r>
          </w:p>
        </w:tc>
        <w:tc>
          <w:tcPr>
            <w:tcW w:w="6986" w:type="dxa"/>
            <w:gridSpan w:val="4"/>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0" w:lineRule="atLeast"/>
              <w:jc w:val="center"/>
              <w:textAlignment w:val="center"/>
              <w:rPr>
                <w:rFonts w:hint="eastAsia" w:ascii="黑体" w:hAnsi="黑体" w:eastAsia="黑体" w:cs="黑体"/>
                <w:b w:val="0"/>
                <w:bCs w:val="0"/>
                <w:color w:val="auto"/>
                <w:sz w:val="21"/>
                <w:szCs w:val="21"/>
              </w:rPr>
            </w:pPr>
            <w:r>
              <w:rPr>
                <w:rFonts w:hint="eastAsia" w:ascii="黑体" w:hAnsi="黑体" w:eastAsia="黑体" w:cs="黑体"/>
                <w:b w:val="0"/>
                <w:bCs w:val="0"/>
                <w:color w:val="auto"/>
                <w:sz w:val="21"/>
                <w:szCs w:val="21"/>
              </w:rPr>
              <w:t>按照《国家基本公共卫生服务项目》中的“老年人健康管理”项目提供</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初级包</w:t>
            </w:r>
          </w:p>
        </w:tc>
        <w:tc>
          <w:tcPr>
            <w:tcW w:w="33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1.基本公共卫生项目包</w:t>
            </w: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68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auto"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2.基层医疗卫生机构一般诊疗费</w:t>
            </w:r>
          </w:p>
        </w:tc>
        <w:tc>
          <w:tcPr>
            <w:tcW w:w="675"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≤10次</w:t>
            </w:r>
          </w:p>
        </w:tc>
        <w:tc>
          <w:tcPr>
            <w:tcW w:w="68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3.健康咨询</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2</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4.疾病健康教育</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2</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中级包</w:t>
            </w: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1.初级包</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2.血常规-三分类/五分类</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3.尿液分析</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4.粪便常规</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5.血清丙氨酸氨基转移酶测定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6.血清天门冬氨酸氨基转移酶测定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7.血清γ-谷氨酰基转移酶测定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8.肌酐测定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9.尿素测定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10.葡萄糖测定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11.血清尿酸测定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12.血清总胆固醇测定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13.血清甘油三酯测定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14.血清高密度脂蛋白胆固醇测定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15.血清低密度脂蛋白胆固醇测定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16.常规心电图检查</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w:t>
            </w:r>
          </w:p>
        </w:tc>
      </w:tr>
      <w:tr>
        <w:tblPrEx>
          <w:tblLayout w:type="fixed"/>
          <w:tblCellMar>
            <w:top w:w="0" w:type="dxa"/>
            <w:left w:w="108" w:type="dxa"/>
            <w:bottom w:w="0" w:type="dxa"/>
            <w:right w:w="108" w:type="dxa"/>
          </w:tblCellMar>
        </w:tblPrEx>
        <w:trPr>
          <w:trHeight w:val="691"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17.B超常规检查</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6"/>
                <w:szCs w:val="21"/>
              </w:rPr>
              <w:t>腹部</w:t>
            </w: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除基本公共卫生服务以外，超声计算机图文报告另外收费</w:t>
            </w: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18.家庭巡诊</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高级包</w:t>
            </w: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1.中级包</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2.癌胚抗原测定（CEA）</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3.甲胎蛋白测定（AFP）</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50"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4.糖类抗原测定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r>
        <w:tblPrEx>
          <w:tblLayout w:type="fixed"/>
          <w:tblCellMar>
            <w:top w:w="0" w:type="dxa"/>
            <w:left w:w="108" w:type="dxa"/>
            <w:bottom w:w="0" w:type="dxa"/>
            <w:right w:w="108" w:type="dxa"/>
          </w:tblCellMar>
        </w:tblPrEx>
        <w:trPr>
          <w:trHeight w:val="361" w:hRule="atLeast"/>
          <w:tblHeader/>
          <w:jc w:val="center"/>
        </w:trPr>
        <w:tc>
          <w:tcPr>
            <w:tcW w:w="456"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cs="Times New Roman"/>
                <w:color w:val="auto"/>
              </w:rPr>
            </w:pPr>
          </w:p>
        </w:tc>
        <w:tc>
          <w:tcPr>
            <w:tcW w:w="12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sz w:val="20"/>
                <w:szCs w:val="22"/>
              </w:rPr>
            </w:pPr>
          </w:p>
        </w:tc>
        <w:tc>
          <w:tcPr>
            <w:tcW w:w="3342"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5.前列腺特异性抗原测定</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18"/>
                <w:szCs w:val="22"/>
              </w:rPr>
            </w:pPr>
            <w:r>
              <w:rPr>
                <w:rFonts w:hint="default" w:ascii="Times New Roman" w:hAnsi="Times New Roman" w:eastAsia="宋体" w:cs="Times New Roman"/>
                <w:color w:val="auto"/>
                <w:sz w:val="18"/>
                <w:szCs w:val="22"/>
              </w:rPr>
              <w:t>1</w:t>
            </w:r>
          </w:p>
        </w:tc>
        <w:tc>
          <w:tcPr>
            <w:tcW w:w="68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c>
          <w:tcPr>
            <w:tcW w:w="22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18"/>
                <w:szCs w:val="22"/>
              </w:rPr>
            </w:pPr>
          </w:p>
        </w:tc>
      </w:tr>
    </w:tbl>
    <w:p>
      <w:pPr>
        <w:spacing w:line="240" w:lineRule="auto"/>
        <w:jc w:val="both"/>
        <w:rPr>
          <w:rFonts w:hint="default" w:ascii="Times New Roman" w:hAnsi="Times New Roman" w:eastAsia="方正小标宋简体" w:cs="Times New Roman"/>
          <w:bCs/>
          <w:color w:val="auto"/>
          <w:sz w:val="36"/>
          <w:szCs w:val="36"/>
        </w:rPr>
      </w:pPr>
    </w:p>
    <w:p>
      <w:pPr>
        <w:spacing w:line="240" w:lineRule="auto"/>
        <w:jc w:val="center"/>
        <w:rPr>
          <w:rFonts w:hint="default" w:ascii="Times New Roman" w:hAnsi="Times New Roman" w:eastAsia="方正小标宋简体" w:cs="Times New Roman"/>
          <w:bCs/>
          <w:color w:val="auto"/>
          <w:sz w:val="36"/>
          <w:szCs w:val="36"/>
        </w:rPr>
        <w:sectPr>
          <w:footerReference r:id="rId3" w:type="default"/>
          <w:pgSz w:w="11906" w:h="16838"/>
          <w:pgMar w:top="2041" w:right="1531" w:bottom="2041" w:left="1531" w:header="851" w:footer="1332" w:gutter="0"/>
          <w:pgNumType w:fmt="numberInDash"/>
          <w:cols w:space="720" w:num="1"/>
          <w:titlePg/>
          <w:rtlGutter w:val="0"/>
          <w:docGrid w:type="linesAndChars" w:linePitch="579" w:charSpace="-849"/>
        </w:sect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小标宋简体" w:cs="Times New Roman"/>
          <w:snapToGrid w:val="0"/>
          <w:color w:val="auto"/>
          <w:kern w:val="0"/>
          <w:sz w:val="52"/>
          <w:szCs w:val="32"/>
        </w:rPr>
      </w:pPr>
      <w:r>
        <w:rPr>
          <w:rFonts w:hint="default" w:ascii="Times New Roman" w:hAnsi="Times New Roman" w:eastAsia="黑体" w:cs="Times New Roman"/>
          <w:snapToGrid w:val="0"/>
          <w:color w:val="auto"/>
          <w:kern w:val="0"/>
          <w:sz w:val="32"/>
          <w:szCs w:val="32"/>
        </w:rPr>
        <w:t>附件6</w:t>
      </w:r>
    </w:p>
    <w:p>
      <w:pPr>
        <w:keepNext w:val="0"/>
        <w:keepLines w:val="0"/>
        <w:pageBreakBefore w:val="0"/>
        <w:widowControl w:val="0"/>
        <w:kinsoku/>
        <w:wordWrap/>
        <w:overflowPunct/>
        <w:topLinePunct w:val="0"/>
        <w:autoSpaceDE/>
        <w:autoSpaceDN/>
        <w:bidi w:val="0"/>
        <w:adjustRightInd/>
        <w:snapToGrid/>
        <w:spacing w:before="67" w:beforeLines="20" w:after="165" w:afterLines="50" w:line="700" w:lineRule="exact"/>
        <w:jc w:val="center"/>
        <w:textAlignment w:val="auto"/>
        <w:rPr>
          <w:rFonts w:hint="default" w:ascii="Times New Roman" w:hAnsi="Times New Roman" w:eastAsia="方正小标宋简体" w:cs="Times New Roman"/>
          <w:snapToGrid w:val="0"/>
          <w:color w:val="auto"/>
          <w:kern w:val="0"/>
          <w:sz w:val="44"/>
          <w:szCs w:val="32"/>
        </w:rPr>
      </w:pPr>
      <w:r>
        <w:rPr>
          <w:rFonts w:hint="default" w:ascii="Times New Roman" w:hAnsi="Times New Roman" w:eastAsia="方正小标宋简体" w:cs="Times New Roman"/>
          <w:bCs/>
          <w:color w:val="auto"/>
          <w:sz w:val="36"/>
          <w:szCs w:val="36"/>
        </w:rPr>
        <w:t>广东省家庭医生签约老年人个性化服务包</w:t>
      </w:r>
    </w:p>
    <w:tbl>
      <w:tblPr>
        <w:tblStyle w:val="4"/>
        <w:tblW w:w="1355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0"/>
        <w:gridCol w:w="513"/>
        <w:gridCol w:w="11650"/>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restart"/>
            <w:noWrap w:val="0"/>
            <w:vAlign w:val="center"/>
          </w:tcPr>
          <w:p>
            <w:pPr>
              <w:autoSpaceDN w:val="0"/>
              <w:jc w:val="center"/>
              <w:textAlignment w:val="center"/>
              <w:rPr>
                <w:rFonts w:hint="default" w:ascii="Times New Roman" w:hAnsi="Times New Roman" w:cs="Times New Roman"/>
                <w:color w:val="auto"/>
              </w:rPr>
            </w:pPr>
            <w:r>
              <w:rPr>
                <w:rFonts w:hint="default" w:ascii="Times New Roman" w:hAnsi="Times New Roman" w:eastAsia="宋体" w:cs="Times New Roman"/>
                <w:color w:val="auto"/>
                <w:sz w:val="30"/>
                <w:szCs w:val="30"/>
              </w:rPr>
              <w:t>老年人</w:t>
            </w:r>
          </w:p>
        </w:tc>
        <w:tc>
          <w:tcPr>
            <w:tcW w:w="513" w:type="dxa"/>
            <w:vMerge w:val="restart"/>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初级包</w:t>
            </w: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1.签约咨询：指具有执业资格的医师/护士接受居民对签约服务内容、服务流程等的咨询，了解居民健康状况，指导其进行签约</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2.个体化签约服务：对辖区内居民的个人健康信息进行收集、整理、初步评估后，指导居民匹配符合个人的团队及服务内容，解释服务流程,并签署知情同意书,明确双方责任及权利</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3.预约就诊服务：提供预约服务。通过电话、网络等多种预约方式，为签约患者提供疾病诊疗和健康管理预约服务</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5" w:hRule="atLeast"/>
          <w:jc w:val="center"/>
        </w:trPr>
        <w:tc>
          <w:tcPr>
            <w:tcW w:w="490"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rPr>
            </w:pPr>
          </w:p>
        </w:tc>
        <w:tc>
          <w:tcPr>
            <w:tcW w:w="513" w:type="dxa"/>
            <w:vMerge w:val="continue"/>
            <w:noWrap w:val="0"/>
            <w:vAlign w:val="center"/>
          </w:tcPr>
          <w:p>
            <w:pPr>
              <w:keepNext w:val="0"/>
              <w:keepLines w:val="0"/>
              <w:pageBreakBefore w:val="0"/>
              <w:widowControl w:val="0"/>
              <w:kinsoku/>
              <w:wordWrap/>
              <w:overflowPunct/>
              <w:topLinePunct w:val="0"/>
              <w:autoSpaceDE/>
              <w:bidi w:val="0"/>
              <w:adjustRightInd/>
              <w:snapToGrid/>
              <w:spacing w:line="240" w:lineRule="exact"/>
              <w:rPr>
                <w:rFonts w:hint="default" w:ascii="Times New Roman" w:hAnsi="Times New Roman" w:cs="Times New Roman"/>
                <w:color w:val="auto"/>
              </w:rPr>
            </w:pPr>
          </w:p>
        </w:tc>
        <w:tc>
          <w:tcPr>
            <w:tcW w:w="11650" w:type="dxa"/>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4.双向转诊服务：包括：转诊条件的确定、与病人和家属意愿达成共识、与转诊机构进行沟通联系、患者病历资料的整理与交接、辅助转诊方法的确定、转诊后对患者病情的追踪随访等</w:t>
            </w:r>
          </w:p>
        </w:tc>
        <w:tc>
          <w:tcPr>
            <w:tcW w:w="904" w:type="dxa"/>
            <w:noWrap w:val="0"/>
            <w:vAlign w:val="center"/>
          </w:tcPr>
          <w:p>
            <w:pPr>
              <w:keepNext w:val="0"/>
              <w:keepLines w:val="0"/>
              <w:pageBreakBefore w:val="0"/>
              <w:widowControl w:val="0"/>
              <w:kinsoku/>
              <w:wordWrap/>
              <w:overflowPunct/>
              <w:topLinePunct w:val="0"/>
              <w:autoSpaceDE/>
              <w:autoSpaceDN w:val="0"/>
              <w:bidi w:val="0"/>
              <w:adjustRightInd/>
              <w:snapToGrid/>
              <w:spacing w:line="240" w:lineRule="exact"/>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由接诊医生按病情需要,≤10次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5.生活质量评估：用国际统一的量表对患者进行主观生活质量(日常生活满意指数)和客观生活质量(功能性限制分布量表)的评定，并形成书面报告</w:t>
            </w:r>
          </w:p>
        </w:tc>
        <w:tc>
          <w:tcPr>
            <w:tcW w:w="904" w:type="dxa"/>
            <w:noWrap w:val="0"/>
            <w:vAlign w:val="center"/>
          </w:tcPr>
          <w:p>
            <w:pPr>
              <w:autoSpaceDN w:val="0"/>
              <w:jc w:val="center"/>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6.血压测量：诊室内进行标准血压测量</w:t>
            </w:r>
          </w:p>
        </w:tc>
        <w:tc>
          <w:tcPr>
            <w:tcW w:w="904" w:type="dxa"/>
            <w:noWrap w:val="0"/>
            <w:vAlign w:val="center"/>
          </w:tcPr>
          <w:p>
            <w:pPr>
              <w:autoSpaceDN w:val="0"/>
              <w:jc w:val="center"/>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restart"/>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中级包</w:t>
            </w: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1.初级包</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2.常见老年性疾病预防指导：指多种方式指导如何预防老年痴呆、骨质疏松等老年性疾病</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3.老年人意外伤害防范指导：指导日常防跌倒等具体措施，含入户指导防跌倒设施等</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4.运动咨询：指具有专业资质的健康管理师了解运动状况，运动方式的选择，以及运动量的指导</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5.老年人睡眠状况评估</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6.老年生活能力评估：反映老年人综合障碍包括身体与精神方面的评估方法</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7.老年人跌倒评估</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8.感觉/运动功能评估：包括视觉功能评估、听觉功能评估、本体感觉评估、皮肤感觉评估、嗅觉与味觉评估等、肌力评估</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9.药事服务费：指医生、药师、护士及其他技术人员为门、急诊、住院患者开具处方医嘱，调剂、发放、使用药品，开展用药指导和临床用药监测的专业活动</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≤10次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restart"/>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高级包</w:t>
            </w: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1.中级包</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2.运动处方：根据患者所患疾病或健康状况，制定个体化运动处方，包括运动方式、运动强度和时间的制定</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3.超声骨密度测定</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4.个体化营养指导：为住院患者提供各种营养相关性疾病（慢性病、营养缺乏性疾病等）个性化营养指导。含全日膳食营养推荐摄入量、膳食结构方案、个体化餐单、营养品选择和使用等方案。不含门诊营养咨询</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5.心理社会功能评估:包括焦虑抑郁和居家环境评估等</w:t>
            </w:r>
          </w:p>
        </w:tc>
        <w:tc>
          <w:tcPr>
            <w:tcW w:w="904" w:type="dxa"/>
            <w:noWrap w:val="0"/>
            <w:vAlign w:val="center"/>
          </w:tcPr>
          <w:p>
            <w:pPr>
              <w:autoSpaceDN w:val="0"/>
              <w:jc w:val="center"/>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6.全人健康水平与疾病状况评估:通过收集个人基本信息、生活行为方式、患病情况、家族史、营养状况、运动状况、功能检查信息、一般体格检查、与疾病相关的体格检查、心理健康状态评估</w:t>
            </w:r>
          </w:p>
        </w:tc>
        <w:tc>
          <w:tcPr>
            <w:tcW w:w="904" w:type="dxa"/>
            <w:noWrap w:val="0"/>
            <w:vAlign w:val="center"/>
          </w:tcPr>
          <w:p>
            <w:pPr>
              <w:autoSpaceDN w:val="0"/>
              <w:jc w:val="center"/>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7.全人慢病风险管控方案及咨询:根据全人健康水平与疾病状况评估结果，针对存在的慢病风险制定个性化的包括生活方式指导、营养指导、运动指导、心理调节、戒烟和体重管理，等的全人管控方案，并指导其实施</w:t>
            </w:r>
          </w:p>
        </w:tc>
        <w:tc>
          <w:tcPr>
            <w:tcW w:w="904" w:type="dxa"/>
            <w:noWrap w:val="0"/>
            <w:vAlign w:val="center"/>
          </w:tcPr>
          <w:p>
            <w:pPr>
              <w:autoSpaceDN w:val="0"/>
              <w:jc w:val="center"/>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cs="Times New Roman"/>
                <w:color w:val="auto"/>
                <w:sz w:val="20"/>
              </w:rPr>
            </w:pPr>
            <w:r>
              <w:rPr>
                <w:rFonts w:hint="default" w:ascii="Times New Roman" w:hAnsi="Times New Roman" w:eastAsia="宋体" w:cs="Times New Roman"/>
                <w:color w:val="auto"/>
                <w:sz w:val="20"/>
              </w:rPr>
              <w:t>8.老年综合评估:对有多种慢性病（共病）、老年问题/老年综合征，以及不同程度功能残障、衰弱的老年患者，从疾病、体能、认知、心理和社会支持等多层面对老年患者进行全面评估，制订治疗目标和针对性的干预计划</w:t>
            </w:r>
          </w:p>
        </w:tc>
        <w:tc>
          <w:tcPr>
            <w:tcW w:w="904" w:type="dxa"/>
            <w:noWrap w:val="0"/>
            <w:vAlign w:val="center"/>
          </w:tcPr>
          <w:p>
            <w:pPr>
              <w:autoSpaceDN w:val="0"/>
              <w:jc w:val="center"/>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490" w:type="dxa"/>
            <w:vMerge w:val="continue"/>
            <w:noWrap w:val="0"/>
            <w:vAlign w:val="center"/>
          </w:tcPr>
          <w:p>
            <w:pPr>
              <w:rPr>
                <w:rFonts w:hint="default" w:ascii="Times New Roman" w:hAnsi="Times New Roman" w:cs="Times New Roman"/>
                <w:color w:val="auto"/>
              </w:rPr>
            </w:pPr>
          </w:p>
        </w:tc>
        <w:tc>
          <w:tcPr>
            <w:tcW w:w="513" w:type="dxa"/>
            <w:vMerge w:val="continue"/>
            <w:noWrap w:val="0"/>
            <w:vAlign w:val="center"/>
          </w:tcPr>
          <w:p>
            <w:pPr>
              <w:rPr>
                <w:rFonts w:hint="default" w:ascii="Times New Roman" w:hAnsi="Times New Roman" w:cs="Times New Roman"/>
                <w:color w:val="auto"/>
              </w:rPr>
            </w:pPr>
          </w:p>
        </w:tc>
        <w:tc>
          <w:tcPr>
            <w:tcW w:w="11650" w:type="dxa"/>
            <w:noWrap w:val="0"/>
            <w:vAlign w:val="center"/>
          </w:tcPr>
          <w:p>
            <w:pPr>
              <w:autoSpaceDN w:val="0"/>
              <w:jc w:val="left"/>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9.健康处方:根据个体特点给予针对性健康指导处方，包括饮食、疾病预防、病后膳食指导等</w:t>
            </w:r>
          </w:p>
        </w:tc>
        <w:tc>
          <w:tcPr>
            <w:tcW w:w="904" w:type="dxa"/>
            <w:noWrap w:val="0"/>
            <w:vAlign w:val="center"/>
          </w:tcPr>
          <w:p>
            <w:pPr>
              <w:autoSpaceDN w:val="0"/>
              <w:jc w:val="center"/>
              <w:textAlignment w:val="center"/>
              <w:rPr>
                <w:rFonts w:hint="default" w:ascii="Times New Roman" w:hAnsi="Times New Roman" w:eastAsia="宋体" w:cs="Times New Roman"/>
                <w:color w:val="auto"/>
                <w:sz w:val="20"/>
              </w:rPr>
            </w:pPr>
            <w:r>
              <w:rPr>
                <w:rFonts w:hint="default" w:ascii="Times New Roman" w:hAnsi="Times New Roman" w:eastAsia="宋体" w:cs="Times New Roman"/>
                <w:color w:val="auto"/>
                <w:sz w:val="20"/>
              </w:rPr>
              <w:t>≤10次</w:t>
            </w:r>
          </w:p>
        </w:tc>
      </w:tr>
    </w:tbl>
    <w:p>
      <w:pPr>
        <w:spacing w:line="360" w:lineRule="auto"/>
        <w:jc w:val="left"/>
        <w:rPr>
          <w:rFonts w:hint="default" w:ascii="Times New Roman" w:hAnsi="Times New Roman" w:eastAsia="仿宋_GB2312" w:cs="Times New Roman"/>
          <w:color w:val="auto"/>
          <w:sz w:val="32"/>
          <w:szCs w:val="32"/>
          <w:shd w:val="clear" w:color="auto" w:fill="FFFFFF"/>
        </w:rPr>
      </w:pPr>
    </w:p>
    <w:p>
      <w:pPr>
        <w:spacing w:line="360" w:lineRule="auto"/>
        <w:jc w:val="left"/>
        <w:rPr>
          <w:rFonts w:hint="default" w:ascii="Times New Roman" w:hAnsi="Times New Roman" w:eastAsia="仿宋_GB2312" w:cs="Times New Roman"/>
          <w:color w:val="auto"/>
          <w:sz w:val="32"/>
          <w:szCs w:val="32"/>
          <w:shd w:val="clear" w:color="auto" w:fill="FFFFFF"/>
        </w:rPr>
      </w:pPr>
    </w:p>
    <w:p>
      <w:pPr>
        <w:spacing w:line="360" w:lineRule="auto"/>
        <w:jc w:val="left"/>
        <w:rPr>
          <w:rFonts w:hint="default" w:ascii="Times New Roman" w:hAnsi="Times New Roman" w:eastAsia="仿宋_GB2312" w:cs="Times New Roman"/>
          <w:color w:val="auto"/>
          <w:sz w:val="32"/>
          <w:szCs w:val="32"/>
          <w:shd w:val="clear" w:color="auto" w:fill="FFFFFF"/>
        </w:rPr>
      </w:pPr>
    </w:p>
    <w:p>
      <w:pPr>
        <w:spacing w:line="360" w:lineRule="auto"/>
        <w:jc w:val="left"/>
        <w:rPr>
          <w:rFonts w:hint="default" w:ascii="Times New Roman" w:hAnsi="Times New Roman" w:eastAsia="仿宋_GB2312" w:cs="Times New Roman"/>
          <w:color w:val="auto"/>
          <w:sz w:val="32"/>
          <w:szCs w:val="32"/>
          <w:shd w:val="clear" w:color="auto" w:fill="FFFFFF"/>
        </w:rPr>
      </w:pPr>
    </w:p>
    <w:p>
      <w:pPr>
        <w:spacing w:line="360" w:lineRule="auto"/>
        <w:jc w:val="left"/>
        <w:rPr>
          <w:rFonts w:hint="default" w:ascii="Times New Roman" w:hAnsi="Times New Roman" w:eastAsia="仿宋_GB2312" w:cs="Times New Roman"/>
          <w:color w:val="auto"/>
          <w:sz w:val="32"/>
          <w:szCs w:val="32"/>
          <w:shd w:val="clear" w:color="auto" w:fill="FFFFFF"/>
        </w:rPr>
        <w:sectPr>
          <w:footerReference r:id="rId4" w:type="default"/>
          <w:pgSz w:w="16838" w:h="11906" w:orient="landscape"/>
          <w:pgMar w:top="1531" w:right="2041" w:bottom="1531" w:left="2041" w:header="851" w:footer="1332" w:gutter="0"/>
          <w:pgNumType w:fmt="numberInDash"/>
          <w:cols w:space="720" w:num="1"/>
          <w:rtlGutter w:val="0"/>
          <w:docGrid w:type="lines" w:linePitch="327" w:charSpace="0"/>
        </w:sectPr>
      </w:pP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黑体" w:cs="Times New Roman"/>
          <w:snapToGrid w:val="0"/>
          <w:color w:val="auto"/>
          <w:kern w:val="0"/>
          <w:sz w:val="32"/>
          <w:szCs w:val="32"/>
        </w:rPr>
      </w:pPr>
      <w:r>
        <w:rPr>
          <w:rFonts w:hint="default" w:ascii="Times New Roman" w:hAnsi="Times New Roman" w:eastAsia="黑体" w:cs="Times New Roman"/>
          <w:snapToGrid w:val="0"/>
          <w:color w:val="auto"/>
          <w:kern w:val="0"/>
          <w:sz w:val="32"/>
          <w:szCs w:val="32"/>
        </w:rPr>
        <w:t>附件</w:t>
      </w:r>
      <w:r>
        <w:rPr>
          <w:rFonts w:hint="default" w:ascii="Times New Roman" w:hAnsi="Times New Roman" w:eastAsia="黑体" w:cs="Times New Roman"/>
          <w:snapToGrid w:val="0"/>
          <w:color w:val="auto"/>
          <w:kern w:val="0"/>
          <w:sz w:val="32"/>
          <w:szCs w:val="32"/>
          <w:lang w:val="en-US" w:eastAsia="zh-CN"/>
        </w:rPr>
        <w:t>7</w:t>
      </w:r>
    </w:p>
    <w:p>
      <w:pPr>
        <w:keepNext w:val="0"/>
        <w:keepLines w:val="0"/>
        <w:pageBreakBefore w:val="0"/>
        <w:widowControl w:val="0"/>
        <w:kinsoku/>
        <w:wordWrap/>
        <w:overflowPunct/>
        <w:topLinePunct w:val="0"/>
        <w:autoSpaceDE/>
        <w:autoSpaceDN/>
        <w:bidi w:val="0"/>
        <w:adjustRightInd/>
        <w:snapToGrid/>
        <w:spacing w:before="165" w:beforeLines="50" w:after="263" w:afterLines="80" w:line="700" w:lineRule="exact"/>
        <w:jc w:val="center"/>
        <w:textAlignment w:val="auto"/>
        <w:rPr>
          <w:rFonts w:hint="default" w:ascii="Times New Roman" w:hAnsi="Times New Roman" w:eastAsia="方正小标宋简体" w:cs="Times New Roman"/>
          <w:bCs/>
          <w:color w:val="auto"/>
          <w:sz w:val="36"/>
          <w:szCs w:val="36"/>
        </w:rPr>
      </w:pPr>
      <w:r>
        <w:rPr>
          <w:rFonts w:hint="default" w:ascii="Times New Roman" w:hAnsi="Times New Roman" w:eastAsia="方正小标宋简体" w:cs="Times New Roman"/>
          <w:bCs/>
          <w:color w:val="auto"/>
          <w:sz w:val="36"/>
          <w:szCs w:val="36"/>
        </w:rPr>
        <w:t>预防老年人跌倒家居环境危险因素评估表</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姓名：            性别：       年龄：       居家号/ID号：</w:t>
      </w:r>
    </w:p>
    <w:tbl>
      <w:tblPr>
        <w:tblStyle w:val="4"/>
        <w:tblW w:w="83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2388"/>
        <w:gridCol w:w="3098"/>
        <w:gridCol w:w="1134"/>
        <w:gridCol w:w="11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序号</w:t>
            </w:r>
          </w:p>
        </w:tc>
        <w:tc>
          <w:tcPr>
            <w:tcW w:w="238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评估内容</w:t>
            </w:r>
          </w:p>
        </w:tc>
        <w:tc>
          <w:tcPr>
            <w:tcW w:w="3098" w:type="dxa"/>
            <w:vMerge w:val="restart"/>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评估方法</w:t>
            </w:r>
          </w:p>
        </w:tc>
        <w:tc>
          <w:tcPr>
            <w:tcW w:w="2305" w:type="dxa"/>
            <w:gridSpan w:val="2"/>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选项</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（是；否；无此内容）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p>
        </w:tc>
        <w:tc>
          <w:tcPr>
            <w:tcW w:w="2388"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p>
        </w:tc>
        <w:tc>
          <w:tcPr>
            <w:tcW w:w="3098" w:type="dxa"/>
            <w:vMerge w:val="continue"/>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p>
        </w:tc>
        <w:tc>
          <w:tcPr>
            <w:tcW w:w="1134"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第一次</w:t>
            </w:r>
          </w:p>
        </w:tc>
        <w:tc>
          <w:tcPr>
            <w:tcW w:w="1171" w:type="dxa"/>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eastAsia" w:ascii="黑体" w:hAnsi="黑体" w:eastAsia="黑体" w:cs="黑体"/>
                <w:color w:val="auto"/>
                <w:kern w:val="0"/>
                <w:sz w:val="18"/>
                <w:szCs w:val="18"/>
              </w:rPr>
            </w:pPr>
            <w:r>
              <w:rPr>
                <w:rFonts w:hint="eastAsia" w:ascii="黑体" w:hAnsi="黑体" w:eastAsia="黑体" w:cs="黑体"/>
                <w:color w:val="auto"/>
                <w:kern w:val="0"/>
                <w:sz w:val="18"/>
                <w:szCs w:val="18"/>
              </w:rPr>
              <w:t>第二次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7" w:type="dxa"/>
            <w:gridSpan w:val="5"/>
            <w:noWrap w:val="0"/>
            <w:vAlign w:val="top"/>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cs="Times New Roman"/>
                <w:b/>
                <w:color w:val="auto"/>
                <w:sz w:val="18"/>
              </w:rPr>
            </w:pPr>
            <w:r>
              <w:rPr>
                <w:rFonts w:hint="default" w:ascii="Times New Roman" w:hAnsi="Times New Roman" w:eastAsia="FZSSJW--GB1-0" w:cs="Times New Roman"/>
                <w:b/>
                <w:color w:val="auto"/>
                <w:kern w:val="0"/>
                <w:sz w:val="18"/>
                <w:szCs w:val="18"/>
              </w:rPr>
              <w:t>地面和通道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1</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地毯或地垫平整，没有褶皱或边缘卷曲</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2</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过道上无杂物堆放</w:t>
            </w:r>
          </w:p>
        </w:tc>
        <w:tc>
          <w:tcPr>
            <w:tcW w:w="3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观察（室内过道无物品摆放，或摆放物品不影响通行）</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3</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室内使用防滑地砖</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4</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未养猫或狗</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询问（家庭内未饲养猫、狗等动物）</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b/>
                <w:color w:val="auto"/>
                <w:kern w:val="0"/>
                <w:sz w:val="18"/>
                <w:szCs w:val="18"/>
              </w:rPr>
              <w:t>客厅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1</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室内照明充足</w:t>
            </w:r>
          </w:p>
        </w:tc>
        <w:tc>
          <w:tcPr>
            <w:tcW w:w="3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测试、询问（以室内所有老年人根据</w:t>
            </w:r>
          </w:p>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能否看清物品的表述为主，有眼疾者</w:t>
            </w: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除外）</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2</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取物不需要使用梯子或凳子</w:t>
            </w:r>
          </w:p>
        </w:tc>
        <w:tc>
          <w:tcPr>
            <w:tcW w:w="3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询问（老年人近一年内未使用过梯子</w:t>
            </w: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或凳子攀高取物）</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3</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沙发高度和软硬度适合起身</w:t>
            </w:r>
          </w:p>
        </w:tc>
        <w:tc>
          <w:tcPr>
            <w:tcW w:w="3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测试、询问（以室内所有老年人容易</w:t>
            </w: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坐下和起身作为参考）</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4</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常用椅子有扶手</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观察（观察老年人习惯用椅）</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b/>
                <w:color w:val="auto"/>
                <w:kern w:val="0"/>
                <w:sz w:val="18"/>
                <w:szCs w:val="18"/>
              </w:rPr>
              <w:t>卧室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1</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使用双控照明开关</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2</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躺在床上不用下床也能开关灯</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3</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床边没有杂物影响上下床</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4</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床头装有电话</w:t>
            </w:r>
          </w:p>
        </w:tc>
        <w:tc>
          <w:tcPr>
            <w:tcW w:w="3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观察（老年人躺在床上也能接打</w:t>
            </w: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电话）</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b/>
                <w:color w:val="auto"/>
                <w:kern w:val="0"/>
                <w:sz w:val="18"/>
                <w:szCs w:val="18"/>
              </w:rPr>
              <w:t>厨房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1</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排风扇和窗户通风良好</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观察、测试</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2</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不用攀高或不改变体位可取用常用厨房用具</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3</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厨房内有电话</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367" w:type="dxa"/>
            <w:gridSpan w:val="5"/>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center"/>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b/>
                <w:color w:val="auto"/>
                <w:kern w:val="0"/>
                <w:sz w:val="18"/>
                <w:szCs w:val="18"/>
              </w:rPr>
              <w:t>卫生间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1</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地面平整，排水通畅</w:t>
            </w:r>
          </w:p>
        </w:tc>
        <w:tc>
          <w:tcPr>
            <w:tcW w:w="309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观察、询问（地面排水通畅，不会存</w:t>
            </w:r>
          </w:p>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有积水）</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2</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不设门槛，内外地面在同一水平</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3</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马桶旁有扶手</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4</w:t>
            </w:r>
          </w:p>
        </w:tc>
        <w:tc>
          <w:tcPr>
            <w:tcW w:w="2388" w:type="dxa"/>
            <w:noWrap w:val="0"/>
            <w:vAlign w:val="center"/>
          </w:tcPr>
          <w:p>
            <w:pPr>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浴缸/ 淋浴房使用防滑垫</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5</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浴缸/淋浴房旁有扶手</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76"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6</w:t>
            </w:r>
          </w:p>
        </w:tc>
        <w:tc>
          <w:tcPr>
            <w:tcW w:w="238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洗漱用品可轻易取用</w:t>
            </w:r>
          </w:p>
        </w:tc>
        <w:tc>
          <w:tcPr>
            <w:tcW w:w="3098"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r>
              <w:rPr>
                <w:rFonts w:hint="default" w:ascii="Times New Roman" w:hAnsi="Times New Roman" w:eastAsia="FZSSJW--GB1-0" w:cs="Times New Roman"/>
                <w:color w:val="auto"/>
                <w:kern w:val="0"/>
                <w:sz w:val="18"/>
                <w:szCs w:val="18"/>
              </w:rPr>
              <w:t>观察（不改变体位，直接取用）</w:t>
            </w:r>
          </w:p>
        </w:tc>
        <w:tc>
          <w:tcPr>
            <w:tcW w:w="1134"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c>
          <w:tcPr>
            <w:tcW w:w="1171" w:type="dxa"/>
            <w:noWrap w:val="0"/>
            <w:vAlign w:val="center"/>
          </w:tcPr>
          <w:p>
            <w:pPr>
              <w:keepNext w:val="0"/>
              <w:keepLines w:val="0"/>
              <w:pageBreakBefore w:val="0"/>
              <w:widowControl w:val="0"/>
              <w:kinsoku/>
              <w:wordWrap/>
              <w:overflowPunct/>
              <w:topLinePunct w:val="0"/>
              <w:bidi w:val="0"/>
              <w:snapToGrid/>
              <w:spacing w:line="240" w:lineRule="auto"/>
              <w:ind w:left="0" w:leftChars="0" w:right="0" w:rightChars="0" w:firstLine="0" w:firstLineChars="0"/>
              <w:textAlignment w:val="auto"/>
              <w:outlineLvl w:val="9"/>
              <w:rPr>
                <w:rFonts w:hint="default" w:ascii="Times New Roman" w:hAnsi="Times New Roman" w:eastAsia="FZSSJW--GB1-0" w:cs="Times New Roman"/>
                <w:color w:val="auto"/>
                <w:kern w:val="0"/>
                <w:sz w:val="18"/>
                <w:szCs w:val="18"/>
              </w:rPr>
            </w:pPr>
          </w:p>
        </w:tc>
      </w:tr>
    </w:tbl>
    <w:p>
      <w:pPr>
        <w:spacing w:line="360" w:lineRule="auto"/>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评估人员：</w:t>
      </w:r>
    </w:p>
    <w:p>
      <w:pPr>
        <w:spacing w:line="360" w:lineRule="auto"/>
        <w:jc w:val="left"/>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日期：</w:t>
      </w:r>
    </w:p>
    <w:p>
      <w:pPr>
        <w:spacing w:line="360" w:lineRule="auto"/>
        <w:jc w:val="left"/>
        <w:rPr>
          <w:rFonts w:hint="default" w:ascii="Times New Roman" w:hAnsi="Times New Roman" w:eastAsia="仿宋_GB2312" w:cs="Times New Roman"/>
          <w:color w:val="auto"/>
          <w:sz w:val="32"/>
          <w:szCs w:val="32"/>
          <w:shd w:val="clear" w:color="auto" w:fill="FFFFFF"/>
        </w:rPr>
        <w:sectPr>
          <w:pgSz w:w="11906" w:h="16838"/>
          <w:pgMar w:top="2041" w:right="1531" w:bottom="2041" w:left="1531" w:header="851" w:footer="1332" w:gutter="0"/>
          <w:pgNumType w:fmt="numberInDash"/>
          <w:cols w:space="720" w:num="1"/>
          <w:rtlGutter w:val="0"/>
          <w:docGrid w:type="lines" w:linePitch="327" w:charSpace="0"/>
        </w:sectPr>
      </w:pP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28"/>
          <w:szCs w:val="28"/>
        </w:rPr>
      </w:pPr>
      <w:r>
        <w:rPr>
          <w:rFonts w:hint="default" w:ascii="Times New Roman" w:hAnsi="Times New Roman" w:eastAsia="黑体" w:cs="Times New Roman"/>
          <w:bCs/>
          <w:color w:val="auto"/>
          <w:sz w:val="32"/>
          <w:szCs w:val="32"/>
        </w:rPr>
        <w:t>附件8</w:t>
      </w:r>
    </w:p>
    <w:p>
      <w:pPr>
        <w:keepNext w:val="0"/>
        <w:keepLines w:val="0"/>
        <w:pageBreakBefore w:val="0"/>
        <w:widowControl w:val="0"/>
        <w:kinsoku/>
        <w:wordWrap/>
        <w:overflowPunct/>
        <w:topLinePunct w:val="0"/>
        <w:autoSpaceDE/>
        <w:autoSpaceDN/>
        <w:bidi w:val="0"/>
        <w:adjustRightInd/>
        <w:snapToGrid/>
        <w:spacing w:before="165" w:beforeLines="50" w:after="263" w:afterLines="80" w:line="700" w:lineRule="exact"/>
        <w:jc w:val="center"/>
        <w:textAlignment w:val="auto"/>
        <w:rPr>
          <w:rFonts w:hint="default" w:ascii="Times New Roman" w:hAnsi="Times New Roman" w:eastAsia="方正小标宋简体" w:cs="Times New Roman"/>
          <w:bCs/>
          <w:color w:val="auto"/>
          <w:sz w:val="36"/>
          <w:szCs w:val="36"/>
        </w:rPr>
      </w:pPr>
      <w:r>
        <w:rPr>
          <w:rFonts w:hint="default" w:ascii="Times New Roman" w:hAnsi="Times New Roman" w:eastAsia="方正小标宋简体" w:cs="Times New Roman"/>
          <w:bCs/>
          <w:color w:val="auto"/>
          <w:sz w:val="36"/>
          <w:szCs w:val="36"/>
        </w:rPr>
        <w:t>老年人居家医疗健康服务前风险评估表</w:t>
      </w:r>
    </w:p>
    <w:p>
      <w:pPr>
        <w:widowControl/>
        <w:ind w:firstLine="240" w:firstLineChars="100"/>
        <w:jc w:val="left"/>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4"/>
        </w:rPr>
        <w:t>姓名：    性别：   年龄：   岁    居家号/ID号         评估日期：</w:t>
      </w:r>
    </w:p>
    <w:tbl>
      <w:tblPr>
        <w:tblStyle w:val="4"/>
        <w:tblW w:w="8505" w:type="dxa"/>
        <w:jc w:val="center"/>
        <w:tblInd w:w="0" w:type="dxa"/>
        <w:tblLayout w:type="fixed"/>
        <w:tblCellMar>
          <w:top w:w="0" w:type="dxa"/>
          <w:left w:w="108" w:type="dxa"/>
          <w:bottom w:w="0" w:type="dxa"/>
          <w:right w:w="108" w:type="dxa"/>
        </w:tblCellMar>
      </w:tblPr>
      <w:tblGrid>
        <w:gridCol w:w="661"/>
        <w:gridCol w:w="3592"/>
        <w:gridCol w:w="850"/>
        <w:gridCol w:w="851"/>
        <w:gridCol w:w="2551"/>
      </w:tblGrid>
      <w:tr>
        <w:tblPrEx>
          <w:tblLayout w:type="fixed"/>
          <w:tblCellMar>
            <w:top w:w="0" w:type="dxa"/>
            <w:left w:w="108" w:type="dxa"/>
            <w:bottom w:w="0" w:type="dxa"/>
            <w:right w:w="108" w:type="dxa"/>
          </w:tblCellMar>
        </w:tblPrEx>
        <w:trPr>
          <w:trHeight w:val="350" w:hRule="atLeast"/>
          <w:jc w:val="center"/>
        </w:trPr>
        <w:tc>
          <w:tcPr>
            <w:tcW w:w="425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b/>
                <w:color w:val="auto"/>
                <w:sz w:val="24"/>
              </w:rPr>
            </w:pPr>
            <w:r>
              <w:rPr>
                <w:rFonts w:hint="default" w:ascii="Times New Roman" w:hAnsi="Times New Roman" w:cs="Times New Roman"/>
                <w:b/>
                <w:color w:val="auto"/>
                <w:sz w:val="24"/>
              </w:rPr>
              <w:t>评估项目</w:t>
            </w:r>
          </w:p>
        </w:tc>
        <w:tc>
          <w:tcPr>
            <w:tcW w:w="1701"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b/>
                <w:color w:val="auto"/>
                <w:sz w:val="24"/>
              </w:rPr>
            </w:pPr>
            <w:r>
              <w:rPr>
                <w:rFonts w:hint="default" w:ascii="Times New Roman" w:hAnsi="Times New Roman" w:cs="Times New Roman"/>
                <w:b/>
                <w:color w:val="auto"/>
                <w:sz w:val="24"/>
              </w:rPr>
              <w:t>评估结果</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b/>
                <w:color w:val="auto"/>
                <w:sz w:val="24"/>
              </w:rPr>
            </w:pPr>
            <w:r>
              <w:rPr>
                <w:rFonts w:hint="default" w:ascii="Times New Roman" w:hAnsi="Times New Roman" w:cs="Times New Roman"/>
                <w:b/>
                <w:color w:val="auto"/>
                <w:sz w:val="24"/>
              </w:rPr>
              <w:t>备注</w:t>
            </w:r>
          </w:p>
        </w:tc>
      </w:tr>
      <w:tr>
        <w:tblPrEx>
          <w:tblLayout w:type="fixed"/>
          <w:tblCellMar>
            <w:top w:w="0" w:type="dxa"/>
            <w:left w:w="108" w:type="dxa"/>
            <w:bottom w:w="0" w:type="dxa"/>
            <w:right w:w="108" w:type="dxa"/>
          </w:tblCellMar>
        </w:tblPrEx>
        <w:trPr>
          <w:trHeight w:val="260" w:hRule="atLeast"/>
          <w:jc w:val="center"/>
        </w:trPr>
        <w:tc>
          <w:tcPr>
            <w:tcW w:w="425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b/>
                <w:color w:val="auto"/>
                <w:sz w:val="24"/>
              </w:rPr>
            </w:pPr>
            <w:r>
              <w:rPr>
                <w:rFonts w:hint="default" w:ascii="Times New Roman" w:hAnsi="Times New Roman" w:cs="Times New Roman"/>
                <w:b/>
                <w:color w:val="auto"/>
                <w:sz w:val="24"/>
              </w:rPr>
              <w:t>环境方面</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 w:val="24"/>
              </w:rPr>
            </w:pPr>
            <w:r>
              <w:rPr>
                <w:rFonts w:hint="default" w:ascii="Times New Roman" w:hAnsi="Times New Roman" w:cs="Times New Roman"/>
                <w:color w:val="auto"/>
                <w:sz w:val="24"/>
              </w:rPr>
              <w:t>没有</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 w:val="24"/>
              </w:rPr>
            </w:pPr>
            <w:r>
              <w:rPr>
                <w:rFonts w:hint="default" w:ascii="Times New Roman" w:hAnsi="Times New Roman" w:cs="Times New Roman"/>
                <w:color w:val="auto"/>
                <w:sz w:val="24"/>
              </w:rPr>
              <w:t>有</w:t>
            </w: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default" w:ascii="Times New Roman" w:hAnsi="Times New Roman" w:cs="Times New Roman"/>
                <w:color w:val="auto"/>
                <w:sz w:val="24"/>
              </w:rPr>
            </w:pPr>
          </w:p>
        </w:tc>
      </w:tr>
      <w:tr>
        <w:tblPrEx>
          <w:tblLayout w:type="fixed"/>
          <w:tblCellMar>
            <w:top w:w="0" w:type="dxa"/>
            <w:left w:w="108" w:type="dxa"/>
            <w:bottom w:w="0" w:type="dxa"/>
            <w:right w:w="108" w:type="dxa"/>
          </w:tblCellMar>
        </w:tblPrEx>
        <w:trPr>
          <w:trHeight w:val="54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居住地区公共交通缺陷</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70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居家四周环境安全风险</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54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饲养动物/家禽伤人风险</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8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4</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电话网络等通讯设施缺陷</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5</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居住地治安是否有风险</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30" w:hRule="atLeast"/>
          <w:jc w:val="center"/>
        </w:trPr>
        <w:tc>
          <w:tcPr>
            <w:tcW w:w="425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情绪方面</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5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情绪不稳定倾向</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03"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暴力行为倾向</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254"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精神病史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245"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55" w:hRule="atLeast"/>
          <w:jc w:val="center"/>
        </w:trPr>
        <w:tc>
          <w:tcPr>
            <w:tcW w:w="425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社交支援</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97"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1</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家人/朋友照顾缺陷</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46"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2</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滥用药物/酒精</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54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3</w:t>
            </w: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r>
              <w:rPr>
                <w:rFonts w:hint="default" w:ascii="Times New Roman" w:hAnsi="Times New Roman" w:cs="Times New Roman"/>
                <w:color w:val="auto"/>
                <w:sz w:val="18"/>
                <w:szCs w:val="18"/>
              </w:rPr>
              <w:t>邻居关系紧张（例如常吵架）</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30"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61" w:hRule="atLeast"/>
          <w:jc w:val="center"/>
        </w:trPr>
        <w:tc>
          <w:tcPr>
            <w:tcW w:w="4253" w:type="dxa"/>
            <w:gridSpan w:val="2"/>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b/>
                <w:color w:val="auto"/>
                <w:sz w:val="18"/>
                <w:szCs w:val="18"/>
              </w:rPr>
            </w:pPr>
            <w:r>
              <w:rPr>
                <w:rFonts w:hint="default" w:ascii="Times New Roman" w:hAnsi="Times New Roman" w:cs="Times New Roman"/>
                <w:b/>
                <w:color w:val="auto"/>
                <w:sz w:val="18"/>
                <w:szCs w:val="18"/>
              </w:rPr>
              <w:t>其他需注意地方</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372" w:hRule="atLeast"/>
          <w:jc w:val="center"/>
        </w:trPr>
        <w:tc>
          <w:tcPr>
            <w:tcW w:w="66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3592"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c>
          <w:tcPr>
            <w:tcW w:w="2551" w:type="dxa"/>
            <w:tcBorders>
              <w:top w:val="single" w:color="000000" w:sz="4" w:space="0"/>
              <w:left w:val="single" w:color="000000" w:sz="4" w:space="0"/>
              <w:bottom w:val="single" w:color="000000" w:sz="4" w:space="0"/>
              <w:right w:val="single" w:color="000000" w:sz="4" w:space="0"/>
            </w:tcBorders>
            <w:noWrap w:val="0"/>
            <w:vAlign w:val="center"/>
          </w:tcPr>
          <w:p>
            <w:pPr>
              <w:autoSpaceDN w:val="0"/>
              <w:textAlignment w:val="center"/>
              <w:rPr>
                <w:rFonts w:hint="default" w:ascii="Times New Roman" w:hAnsi="Times New Roman" w:cs="Times New Roman"/>
                <w:color w:val="auto"/>
                <w:sz w:val="18"/>
                <w:szCs w:val="18"/>
              </w:rPr>
            </w:pPr>
          </w:p>
        </w:tc>
      </w:tr>
      <w:tr>
        <w:tblPrEx>
          <w:tblLayout w:type="fixed"/>
          <w:tblCellMar>
            <w:top w:w="0" w:type="dxa"/>
            <w:left w:w="108" w:type="dxa"/>
            <w:bottom w:w="0" w:type="dxa"/>
            <w:right w:w="108" w:type="dxa"/>
          </w:tblCellMar>
        </w:tblPrEx>
        <w:trPr>
          <w:trHeight w:val="784" w:hRule="atLeast"/>
          <w:jc w:val="center"/>
        </w:trPr>
        <w:tc>
          <w:tcPr>
            <w:tcW w:w="8505" w:type="dxa"/>
            <w:gridSpan w:val="5"/>
            <w:noWrap w:val="0"/>
            <w:vAlign w:val="center"/>
          </w:tcPr>
          <w:p>
            <w:pPr>
              <w:autoSpaceDN w:val="0"/>
              <w:textAlignment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w:t>
            </w:r>
            <w:r>
              <w:rPr>
                <w:rFonts w:hint="default" w:ascii="Times New Roman" w:hAnsi="Times New Roman" w:cs="Times New Roman"/>
                <w:color w:val="auto"/>
                <w:sz w:val="28"/>
              </w:rPr>
              <w:t>评估者签名：</w:t>
            </w:r>
            <w:r>
              <w:rPr>
                <w:rFonts w:hint="default" w:ascii="Times New Roman" w:hAnsi="Times New Roman" w:cs="Times New Roman"/>
                <w:color w:val="auto"/>
                <w:sz w:val="24"/>
              </w:rPr>
              <w:t xml:space="preserve">   </w:t>
            </w:r>
          </w:p>
        </w:tc>
      </w:tr>
      <w:tr>
        <w:tblPrEx>
          <w:tblLayout w:type="fixed"/>
          <w:tblCellMar>
            <w:top w:w="0" w:type="dxa"/>
            <w:left w:w="108" w:type="dxa"/>
            <w:bottom w:w="0" w:type="dxa"/>
            <w:right w:w="108" w:type="dxa"/>
          </w:tblCellMar>
        </w:tblPrEx>
        <w:trPr>
          <w:trHeight w:val="350" w:hRule="atLeast"/>
          <w:jc w:val="center"/>
        </w:trPr>
        <w:tc>
          <w:tcPr>
            <w:tcW w:w="8505" w:type="dxa"/>
            <w:gridSpan w:val="5"/>
            <w:noWrap w:val="0"/>
            <w:vAlign w:val="center"/>
          </w:tcPr>
          <w:p>
            <w:pPr>
              <w:rPr>
                <w:rFonts w:hint="default" w:ascii="Times New Roman" w:hAnsi="Times New Roman" w:cs="Times New Roman"/>
                <w:color w:val="auto"/>
                <w:sz w:val="28"/>
                <w:szCs w:val="28"/>
              </w:rPr>
            </w:pPr>
            <w:r>
              <w:rPr>
                <w:rFonts w:hint="default" w:ascii="Times New Roman" w:hAnsi="Times New Roman" w:cs="Times New Roman"/>
                <w:color w:val="auto"/>
                <w:sz w:val="24"/>
              </w:rPr>
              <w:t xml:space="preserve">                                        </w:t>
            </w:r>
            <w:r>
              <w:rPr>
                <w:rFonts w:hint="default" w:ascii="Times New Roman" w:hAnsi="Times New Roman" w:cs="Times New Roman"/>
                <w:color w:val="auto"/>
                <w:sz w:val="28"/>
                <w:szCs w:val="28"/>
              </w:rPr>
              <w:t xml:space="preserve">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 xml:space="preserve">年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 xml:space="preserve"> 月 </w:t>
            </w:r>
            <w:r>
              <w:rPr>
                <w:rFonts w:hint="default" w:ascii="Times New Roman" w:hAnsi="Times New Roman" w:cs="Times New Roman"/>
                <w:color w:val="auto"/>
                <w:sz w:val="28"/>
                <w:szCs w:val="28"/>
                <w:u w:val="single"/>
              </w:rPr>
              <w:t xml:space="preserve">    </w:t>
            </w:r>
            <w:r>
              <w:rPr>
                <w:rFonts w:hint="default" w:ascii="Times New Roman" w:hAnsi="Times New Roman" w:cs="Times New Roman"/>
                <w:color w:val="auto"/>
                <w:sz w:val="28"/>
                <w:szCs w:val="28"/>
              </w:rPr>
              <w:t>日</w:t>
            </w:r>
          </w:p>
          <w:p>
            <w:pPr>
              <w:autoSpaceDN w:val="0"/>
              <w:textAlignment w:val="center"/>
              <w:rPr>
                <w:rFonts w:hint="default" w:ascii="Times New Roman" w:hAnsi="Times New Roman" w:cs="Times New Roman"/>
                <w:color w:val="auto"/>
                <w:sz w:val="24"/>
              </w:rPr>
            </w:pPr>
            <w:r>
              <w:rPr>
                <w:rFonts w:hint="default" w:ascii="Times New Roman" w:hAnsi="Times New Roman" w:cs="Times New Roman"/>
                <w:color w:val="auto"/>
                <w:sz w:val="24"/>
              </w:rPr>
              <w:t xml:space="preserve">   </w:t>
            </w:r>
          </w:p>
          <w:p>
            <w:pPr>
              <w:autoSpaceDN w:val="0"/>
              <w:textAlignment w:val="center"/>
              <w:rPr>
                <w:rFonts w:hint="default" w:ascii="Times New Roman" w:hAnsi="Times New Roman" w:cs="Times New Roman"/>
                <w:color w:val="auto"/>
                <w:sz w:val="24"/>
              </w:rPr>
            </w:pPr>
          </w:p>
        </w:tc>
      </w:tr>
    </w:tbl>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仿宋_GB2312" w:cs="Times New Roman"/>
          <w:bCs/>
          <w:color w:val="auto"/>
          <w:sz w:val="28"/>
          <w:szCs w:val="28"/>
        </w:rPr>
        <w:br w:type="page"/>
      </w:r>
      <w:r>
        <w:rPr>
          <w:rFonts w:hint="default" w:ascii="Times New Roman" w:hAnsi="Times New Roman" w:eastAsia="黑体" w:cs="Times New Roman"/>
          <w:bCs/>
          <w:color w:val="auto"/>
          <w:sz w:val="32"/>
          <w:szCs w:val="32"/>
        </w:rPr>
        <w:t>附件9</w:t>
      </w:r>
    </w:p>
    <w:p>
      <w:pPr>
        <w:keepNext w:val="0"/>
        <w:keepLines w:val="0"/>
        <w:pageBreakBefore w:val="0"/>
        <w:widowControl/>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28"/>
          <w:szCs w:val="28"/>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老年人居家医疗健康服务协议书</w:t>
      </w:r>
    </w:p>
    <w:p>
      <w:pPr>
        <w:keepNext w:val="0"/>
        <w:keepLines w:val="0"/>
        <w:pageBreakBefore w:val="0"/>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28"/>
          <w:szCs w:val="28"/>
        </w:rPr>
      </w:pPr>
    </w:p>
    <w:p>
      <w:pPr>
        <w:keepNext w:val="0"/>
        <w:keepLines w:val="0"/>
        <w:pageBreakBefore w:val="0"/>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甲方：</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（医疗机构）</w:t>
      </w:r>
    </w:p>
    <w:p>
      <w:pPr>
        <w:keepNext w:val="0"/>
        <w:keepLines w:val="0"/>
        <w:pageBreakBefore w:val="0"/>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乙方（服务对象</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法定代理人</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身份证号</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   </w:t>
      </w:r>
    </w:p>
    <w:p>
      <w:pPr>
        <w:keepNext w:val="0"/>
        <w:keepLines w:val="0"/>
        <w:pageBreakBefore w:val="0"/>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服务对象姓名：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身份证号</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住址</w:t>
      </w:r>
      <w:r>
        <w:rPr>
          <w:rFonts w:hint="default" w:ascii="Times New Roman" w:hAnsi="Times New Roman" w:eastAsia="仿宋_GB2312" w:cs="Times New Roman"/>
          <w:color w:val="auto"/>
          <w:sz w:val="32"/>
          <w:szCs w:val="32"/>
          <w:u w:val="single"/>
        </w:rPr>
        <w:t xml:space="preserve">                </w:t>
      </w:r>
    </w:p>
    <w:p>
      <w:pPr>
        <w:keepNext w:val="0"/>
        <w:keepLines w:val="0"/>
        <w:pageBreakBefore w:val="0"/>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签约期限：       年   月   日 至      年   月   日</w:t>
      </w:r>
      <w:r>
        <w:rPr>
          <w:rFonts w:hint="default" w:ascii="Times New Roman" w:hAnsi="Times New Roman" w:eastAsia="仿宋_GB2312" w:cs="Times New Roman"/>
          <w:color w:val="auto"/>
          <w:sz w:val="32"/>
          <w:szCs w:val="32"/>
          <w:u w:val="single"/>
        </w:rPr>
        <w:t xml:space="preserve">           </w:t>
      </w:r>
    </w:p>
    <w:p>
      <w:pPr>
        <w:keepNext w:val="0"/>
        <w:keepLines w:val="0"/>
        <w:pageBreakBefore w:val="0"/>
        <w:kinsoku/>
        <w:wordWrap/>
        <w:overflowPunct/>
        <w:topLinePunct w:val="0"/>
        <w:autoSpaceDE/>
        <w:bidi w:val="0"/>
        <w:adjustRightInd/>
        <w:snapToGrid/>
        <w:spacing w:line="560" w:lineRule="exact"/>
        <w:ind w:left="0"/>
        <w:jc w:val="left"/>
        <w:textAlignment w:val="auto"/>
        <w:rPr>
          <w:rFonts w:hint="default" w:ascii="Times New Roman" w:hAnsi="Times New Roman" w:eastAsia="仿宋_GB2312" w:cs="Times New Roman"/>
          <w:b/>
          <w:color w:val="auto"/>
          <w:sz w:val="32"/>
          <w:szCs w:val="32"/>
        </w:rPr>
      </w:pPr>
    </w:p>
    <w:p>
      <w:pPr>
        <w:keepNext w:val="0"/>
        <w:keepLines w:val="0"/>
        <w:pageBreakBefore w:val="0"/>
        <w:kinsoku/>
        <w:wordWrap/>
        <w:overflowPunct/>
        <w:topLinePunct w:val="0"/>
        <w:autoSpaceDE/>
        <w:bidi w:val="0"/>
        <w:adjustRightInd/>
        <w:snapToGrid/>
        <w:spacing w:line="560" w:lineRule="exact"/>
        <w:ind w:left="0"/>
        <w:jc w:val="left"/>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双方在签订本协议前，均已知晓并理解以下告知内容。</w:t>
      </w:r>
    </w:p>
    <w:p>
      <w:pPr>
        <w:keepNext w:val="0"/>
        <w:keepLines w:val="0"/>
        <w:pageBreakBefore w:val="0"/>
        <w:kinsoku/>
        <w:wordWrap/>
        <w:overflowPunct/>
        <w:topLinePunct w:val="0"/>
        <w:autoSpaceDE/>
        <w:bidi w:val="0"/>
        <w:adjustRightInd/>
        <w:snapToGrid/>
        <w:spacing w:line="560" w:lineRule="exact"/>
        <w:ind w:left="0"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一、甲方责任</w:t>
      </w:r>
    </w:p>
    <w:p>
      <w:pPr>
        <w:keepNext w:val="0"/>
        <w:keepLines w:val="0"/>
        <w:pageBreakBefore w:val="0"/>
        <w:kinsoku/>
        <w:wordWrap/>
        <w:overflowPunct/>
        <w:topLinePunct w:val="0"/>
        <w:autoSpaceDE/>
        <w:bidi w:val="0"/>
        <w:adjustRightInd/>
        <w:snapToGrid/>
        <w:spacing w:line="560" w:lineRule="exact"/>
        <w:ind w:left="0" w:firstLine="640" w:firstLineChars="200"/>
        <w:jc w:val="left"/>
        <w:textAlignment w:val="auto"/>
        <w:rPr>
          <w:rFonts w:hint="default" w:ascii="Times New Roman" w:hAnsi="Times New Roman" w:eastAsia="仿宋_GB2312" w:cs="Times New Roman"/>
          <w:color w:val="auto"/>
          <w:sz w:val="32"/>
          <w:szCs w:val="32"/>
          <w:u w:val="single"/>
        </w:rPr>
      </w:pPr>
      <w:r>
        <w:rPr>
          <w:rFonts w:hint="default" w:ascii="Times New Roman" w:hAnsi="Times New Roman" w:eastAsia="仿宋_GB2312" w:cs="Times New Roman"/>
          <w:color w:val="auto"/>
          <w:sz w:val="32"/>
          <w:szCs w:val="32"/>
        </w:rPr>
        <w:t>根据《广东省老年人居家医疗健康服务工作指引》，由</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（责任医务人员□医疗护理员</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）身份证号码</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提供各项服务，具体服务项目和内容根据服务对象的健康状况、经济支付能力等与乙方商定并做好准确记录。</w:t>
      </w:r>
    </w:p>
    <w:p>
      <w:pPr>
        <w:keepNext w:val="0"/>
        <w:keepLines w:val="0"/>
        <w:pageBreakBefore w:val="0"/>
        <w:kinsoku/>
        <w:wordWrap/>
        <w:overflowPunct/>
        <w:topLinePunct w:val="0"/>
        <w:autoSpaceDE/>
        <w:bidi w:val="0"/>
        <w:adjustRightInd/>
        <w:snapToGrid/>
        <w:spacing w:line="560" w:lineRule="exact"/>
        <w:ind w:left="0" w:firstLine="640" w:firstLineChars="200"/>
        <w:jc w:val="left"/>
        <w:textAlignment w:val="auto"/>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二、乙方责任</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eastAsia"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如实提供各项健康相关资料，与甲方协商好</w:t>
      </w:r>
      <w:r>
        <w:rPr>
          <w:rFonts w:hint="default" w:ascii="Times New Roman" w:hAnsi="Times New Roman" w:eastAsia="仿宋_GB2312" w:cs="Times New Roman"/>
          <w:color w:val="auto"/>
          <w:sz w:val="32"/>
          <w:szCs w:val="32"/>
        </w:rPr>
        <w:t>具体服务项目和内容</w:t>
      </w:r>
      <w:r>
        <w:rPr>
          <w:rFonts w:hint="default" w:ascii="Times New Roman" w:hAnsi="Times New Roman" w:eastAsia="仿宋_GB2312" w:cs="Times New Roman"/>
          <w:color w:val="auto"/>
          <w:sz w:val="32"/>
          <w:szCs w:val="32"/>
          <w:shd w:val="clear" w:color="auto" w:fill="FFFFFF"/>
        </w:rPr>
        <w:t>。</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提供准确有效的通信联络方式。</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3</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为甲方提供必要的工作便利和安全保障。</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4</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配合治疗和健康管理，病情变化及时与责任医师或</w:t>
      </w:r>
      <w:r>
        <w:rPr>
          <w:rFonts w:hint="default" w:ascii="Times New Roman" w:hAnsi="Times New Roman" w:eastAsia="仿宋_GB2312" w:cs="Times New Roman"/>
          <w:color w:val="auto"/>
          <w:sz w:val="32"/>
          <w:szCs w:val="32"/>
        </w:rPr>
        <w:t>医疗护理员﻿</w:t>
      </w:r>
      <w:r>
        <w:rPr>
          <w:rFonts w:hint="default" w:ascii="Times New Roman" w:hAnsi="Times New Roman" w:eastAsia="仿宋_GB2312" w:cs="Times New Roman"/>
          <w:color w:val="auto"/>
          <w:sz w:val="32"/>
          <w:szCs w:val="32"/>
          <w:shd w:val="clear" w:color="auto" w:fill="FFFFFF"/>
        </w:rPr>
        <w:t>联系，或立即拨打120转院。</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640" w:firstLineChars="200"/>
        <w:jc w:val="left"/>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5</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按规定要求及时支付有关费用。</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555"/>
        <w:textAlignment w:val="auto"/>
        <w:rPr>
          <w:rFonts w:hint="default" w:ascii="Times New Roman" w:hAnsi="Times New Roman" w:eastAsia="黑体" w:cs="Times New Roman"/>
          <w:color w:val="auto"/>
          <w:sz w:val="32"/>
          <w:szCs w:val="32"/>
          <w:shd w:val="clear" w:color="auto" w:fill="FFFFFF"/>
        </w:rPr>
      </w:pPr>
      <w:r>
        <w:rPr>
          <w:rFonts w:hint="default" w:ascii="Times New Roman" w:hAnsi="Times New Roman" w:eastAsia="黑体" w:cs="Times New Roman"/>
          <w:color w:val="auto"/>
          <w:sz w:val="32"/>
          <w:szCs w:val="32"/>
          <w:shd w:val="clear" w:color="auto" w:fill="FFFFFF"/>
        </w:rPr>
        <w:t>三、续约与解约</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555"/>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1</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为保证服务的连续性，协议到期前一个月，如双方未提出解约则本合约自动延期。</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555"/>
        <w:textAlignment w:val="auto"/>
        <w:rPr>
          <w:rFonts w:hint="default" w:ascii="Times New Roman" w:hAnsi="Times New Roman" w:eastAsia="仿宋_GB2312" w:cs="Times New Roman"/>
          <w:color w:val="auto"/>
          <w:sz w:val="32"/>
          <w:szCs w:val="32"/>
          <w:shd w:val="clear" w:color="auto" w:fill="FFFFFF"/>
        </w:rPr>
      </w:pPr>
      <w:r>
        <w:rPr>
          <w:rFonts w:hint="default" w:ascii="Times New Roman" w:hAnsi="Times New Roman" w:eastAsia="仿宋_GB2312" w:cs="Times New Roman"/>
          <w:color w:val="auto"/>
          <w:sz w:val="32"/>
          <w:szCs w:val="32"/>
          <w:shd w:val="clear" w:color="auto" w:fill="FFFFFF"/>
        </w:rPr>
        <w:t>2</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任何一方计划退出，需提前一个月提出解除合约。</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555"/>
        <w:textAlignment w:val="auto"/>
        <w:rPr>
          <w:rFonts w:hint="default" w:ascii="Times New Roman" w:hAnsi="Times New Roman" w:eastAsia="仿宋_GB2312" w:cs="Times New Roman"/>
          <w:color w:val="auto"/>
          <w:sz w:val="32"/>
          <w:szCs w:val="32"/>
          <w:u w:val="single"/>
          <w:shd w:val="clear" w:color="auto" w:fill="FFFFFF"/>
        </w:rPr>
      </w:pPr>
      <w:r>
        <w:rPr>
          <w:rFonts w:hint="default" w:ascii="Times New Roman" w:hAnsi="Times New Roman" w:eastAsia="仿宋_GB2312" w:cs="Times New Roman"/>
          <w:color w:val="auto"/>
          <w:sz w:val="32"/>
          <w:szCs w:val="32"/>
          <w:shd w:val="clear" w:color="auto" w:fill="FFFFFF"/>
        </w:rPr>
        <w:t>3</w:t>
      </w:r>
      <w:r>
        <w:rPr>
          <w:rFonts w:hint="default" w:ascii="仿宋_GB2312" w:hAnsi="仿宋_GB2312" w:eastAsia="仿宋_GB2312" w:cs="仿宋_GB2312"/>
          <w:color w:val="auto"/>
          <w:sz w:val="32"/>
          <w:szCs w:val="32"/>
          <w:shd w:val="clear" w:color="auto" w:fill="FFFFFF"/>
        </w:rPr>
        <w:t>.</w:t>
      </w:r>
      <w:r>
        <w:rPr>
          <w:rFonts w:hint="default" w:ascii="Times New Roman" w:hAnsi="Times New Roman" w:eastAsia="仿宋_GB2312" w:cs="Times New Roman"/>
          <w:color w:val="auto"/>
          <w:sz w:val="32"/>
          <w:szCs w:val="32"/>
          <w:shd w:val="clear" w:color="auto" w:fill="FFFFFF"/>
        </w:rPr>
        <w:t>其他</w:t>
      </w:r>
      <w:r>
        <w:rPr>
          <w:rFonts w:hint="default" w:ascii="Times New Roman" w:hAnsi="Times New Roman" w:eastAsia="仿宋_GB2312" w:cs="Times New Roman"/>
          <w:color w:val="auto"/>
          <w:sz w:val="32"/>
          <w:szCs w:val="32"/>
          <w:u w:val="single"/>
          <w:shd w:val="clear" w:color="auto" w:fill="FFFFFF"/>
        </w:rPr>
        <w:t xml:space="preserve">                                                  </w:t>
      </w:r>
    </w:p>
    <w:p>
      <w:pPr>
        <w:keepNext w:val="0"/>
        <w:keepLines w:val="0"/>
        <w:pageBreakBefore w:val="0"/>
        <w:kinsoku/>
        <w:wordWrap/>
        <w:overflowPunct/>
        <w:topLinePunct w:val="0"/>
        <w:autoSpaceDE/>
        <w:bidi w:val="0"/>
        <w:adjustRightInd/>
        <w:snapToGrid/>
        <w:spacing w:line="560" w:lineRule="exact"/>
        <w:ind w:left="0" w:firstLine="570"/>
        <w:textAlignment w:val="auto"/>
        <w:rPr>
          <w:rFonts w:hint="default" w:ascii="Times New Roman" w:hAnsi="Times New Roman" w:eastAsia="仿宋_GB2312" w:cs="Times New Roman"/>
          <w:color w:val="auto"/>
          <w:sz w:val="32"/>
          <w:szCs w:val="32"/>
        </w:rPr>
      </w:pPr>
      <w:r>
        <w:rPr>
          <w:rFonts w:hint="default" w:ascii="Times New Roman" w:hAnsi="Times New Roman" w:eastAsia="黑体" w:cs="Times New Roman"/>
          <w:color w:val="auto"/>
          <w:sz w:val="32"/>
          <w:szCs w:val="32"/>
        </w:rPr>
        <w:t>四、其他未尽事宜，双方友好协商解决。</w:t>
      </w:r>
    </w:p>
    <w:p>
      <w:pPr>
        <w:keepNext w:val="0"/>
        <w:keepLines w:val="0"/>
        <w:pageBreakBefore w:val="0"/>
        <w:tabs>
          <w:tab w:val="left" w:pos="5519"/>
        </w:tabs>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（注：当服务对象不识字、失去行为能力或不具备行为能力时，由法定代理人代签。）</w:t>
      </w:r>
    </w:p>
    <w:p>
      <w:pPr>
        <w:keepNext w:val="0"/>
        <w:keepLines w:val="0"/>
        <w:pageBreakBefore w:val="0"/>
        <w:kinsoku/>
        <w:wordWrap/>
        <w:overflowPunct/>
        <w:topLinePunct w:val="0"/>
        <w:autoSpaceDE/>
        <w:bidi w:val="0"/>
        <w:adjustRightInd/>
        <w:snapToGrid/>
        <w:spacing w:line="560" w:lineRule="exact"/>
        <w:ind w:left="0" w:firstLine="570"/>
        <w:textAlignment w:val="auto"/>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b/>
          <w:color w:val="auto"/>
          <w:sz w:val="32"/>
          <w:szCs w:val="32"/>
        </w:rPr>
        <w:t>本协议一式两份，甲、乙方各持一份，均具同等法律效力。</w:t>
      </w:r>
    </w:p>
    <w:p>
      <w:pPr>
        <w:keepNext w:val="0"/>
        <w:keepLines w:val="0"/>
        <w:pageBreakBefore w:val="0"/>
        <w:kinsoku/>
        <w:wordWrap/>
        <w:overflowPunct/>
        <w:topLinePunct w:val="0"/>
        <w:autoSpaceDE/>
        <w:bidi w:val="0"/>
        <w:adjustRightInd/>
        <w:snapToGrid/>
        <w:spacing w:line="560" w:lineRule="exact"/>
        <w:ind w:left="0" w:firstLine="570"/>
        <w:textAlignment w:val="auto"/>
        <w:rPr>
          <w:rFonts w:hint="default" w:ascii="Times New Roman" w:hAnsi="Times New Roman" w:eastAsia="仿宋_GB2312" w:cs="Times New Roman"/>
          <w:color w:val="auto"/>
          <w:sz w:val="32"/>
          <w:szCs w:val="32"/>
        </w:rPr>
      </w:pPr>
    </w:p>
    <w:p>
      <w:pPr>
        <w:keepNext w:val="0"/>
        <w:keepLines w:val="0"/>
        <w:pageBreakBefore w:val="0"/>
        <w:kinsoku/>
        <w:wordWrap/>
        <w:overflowPunct/>
        <w:topLinePunct w:val="0"/>
        <w:autoSpaceDE/>
        <w:bidi w:val="0"/>
        <w:adjustRightInd/>
        <w:snapToGrid/>
        <w:spacing w:line="560" w:lineRule="exact"/>
        <w:ind w:left="0" w:hanging="2056" w:hangingChars="64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Cs/>
          <w:color w:val="auto"/>
          <w:sz w:val="32"/>
          <w:szCs w:val="32"/>
        </w:rPr>
        <w:t>甲方代表</w:t>
      </w:r>
      <w:r>
        <w:rPr>
          <w:rFonts w:hint="default" w:ascii="Times New Roman" w:hAnsi="Times New Roman" w:eastAsia="仿宋_GB2312" w:cs="Times New Roman"/>
          <w:color w:val="auto"/>
          <w:sz w:val="32"/>
          <w:szCs w:val="32"/>
        </w:rPr>
        <w:t>（签名）：      责任医务人员</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医疗护理员</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（签名）</w:t>
      </w:r>
      <w:r>
        <w:rPr>
          <w:rFonts w:hint="default" w:ascii="Times New Roman" w:hAnsi="Times New Roman" w:eastAsia="仿宋_GB2312" w:cs="Times New Roman"/>
          <w:b/>
          <w:bCs/>
          <w:color w:val="auto"/>
          <w:sz w:val="32"/>
          <w:szCs w:val="32"/>
        </w:rPr>
        <w:t>：</w:t>
      </w:r>
    </w:p>
    <w:p>
      <w:pPr>
        <w:keepNext w:val="0"/>
        <w:keepLines w:val="0"/>
        <w:pageBreakBefore w:val="0"/>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color w:val="auto"/>
          <w:sz w:val="32"/>
          <w:szCs w:val="32"/>
        </w:rPr>
        <w:t>（盖章）</w:t>
      </w:r>
      <w:r>
        <w:rPr>
          <w:rFonts w:hint="default" w:ascii="Times New Roman" w:hAnsi="Times New Roman" w:eastAsia="仿宋_GB2312" w:cs="Times New Roman"/>
          <w:b/>
          <w:bCs/>
          <w:color w:val="auto"/>
          <w:sz w:val="32"/>
          <w:szCs w:val="32"/>
        </w:rPr>
        <w:t xml:space="preserve">   </w:t>
      </w:r>
    </w:p>
    <w:p>
      <w:pPr>
        <w:keepNext w:val="0"/>
        <w:keepLines w:val="0"/>
        <w:pageBreakBefore w:val="0"/>
        <w:tabs>
          <w:tab w:val="center" w:pos="4252"/>
        </w:tabs>
        <w:kinsoku/>
        <w:wordWrap/>
        <w:overflowPunct/>
        <w:topLinePunct w:val="0"/>
        <w:autoSpaceDE/>
        <w:bidi w:val="0"/>
        <w:adjustRightInd/>
        <w:snapToGrid/>
        <w:spacing w:line="560" w:lineRule="exact"/>
        <w:ind w:left="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
          <w:bCs/>
          <w:color w:val="auto"/>
          <w:sz w:val="32"/>
          <w:szCs w:val="32"/>
        </w:rPr>
        <w:t xml:space="preserve">                         </w:t>
      </w:r>
      <w:r>
        <w:rPr>
          <w:rFonts w:hint="default" w:ascii="Times New Roman" w:hAnsi="Times New Roman" w:eastAsia="仿宋_GB2312" w:cs="Times New Roman"/>
          <w:bCs/>
          <w:color w:val="auto"/>
          <w:sz w:val="32"/>
          <w:szCs w:val="32"/>
        </w:rPr>
        <w:t xml:space="preserve">  日期：</w:t>
      </w:r>
      <w:r>
        <w:rPr>
          <w:rFonts w:hint="default" w:ascii="Times New Roman" w:hAnsi="Times New Roman" w:eastAsia="仿宋_GB2312" w:cs="Times New Roman"/>
          <w:color w:val="auto"/>
          <w:sz w:val="32"/>
          <w:szCs w:val="32"/>
        </w:rPr>
        <w:t xml:space="preserve">       年   月   日 </w:t>
      </w:r>
      <w:r>
        <w:rPr>
          <w:rFonts w:hint="default" w:ascii="Times New Roman" w:hAnsi="Times New Roman" w:eastAsia="仿宋_GB2312" w:cs="Times New Roman"/>
          <w:b/>
          <w:bCs/>
          <w:color w:val="auto"/>
          <w:sz w:val="32"/>
          <w:szCs w:val="32"/>
        </w:rPr>
        <w:t xml:space="preserve">  </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textAlignment w:val="auto"/>
        <w:rPr>
          <w:rFonts w:hint="default" w:ascii="Times New Roman" w:hAnsi="Times New Roman" w:eastAsia="仿宋_GB2312" w:cs="Times New Roman"/>
          <w:color w:val="auto"/>
          <w:sz w:val="32"/>
          <w:szCs w:val="32"/>
        </w:rPr>
      </w:pP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480" w:firstLineChars="150"/>
        <w:textAlignment w:val="auto"/>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color w:val="auto"/>
          <w:sz w:val="32"/>
          <w:szCs w:val="32"/>
        </w:rPr>
        <w:t>乙</w:t>
      </w:r>
      <w:r>
        <w:rPr>
          <w:rFonts w:hint="default" w:ascii="Times New Roman" w:hAnsi="Times New Roman" w:eastAsia="仿宋_GB2312" w:cs="Times New Roman"/>
          <w:bCs/>
          <w:color w:val="auto"/>
          <w:sz w:val="32"/>
          <w:szCs w:val="32"/>
        </w:rPr>
        <w:t>方</w:t>
      </w:r>
      <w:r>
        <w:rPr>
          <w:rFonts w:hint="default" w:ascii="Times New Roman" w:hAnsi="Times New Roman" w:eastAsia="仿宋_GB2312" w:cs="Times New Roman"/>
          <w:color w:val="auto"/>
          <w:sz w:val="32"/>
          <w:szCs w:val="32"/>
        </w:rPr>
        <w:t>（服务对象</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法定代理人</w:t>
      </w:r>
      <w:r>
        <w:rPr>
          <w:rFonts w:hint="default" w:ascii="Times New Roman" w:hAnsi="Times New Roman" w:eastAsia="宋体" w:cs="Times New Roman"/>
          <w:color w:val="auto"/>
          <w:sz w:val="32"/>
          <w:szCs w:val="32"/>
        </w:rPr>
        <w:t>□</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b/>
          <w:bCs/>
          <w:color w:val="auto"/>
          <w:sz w:val="32"/>
          <w:szCs w:val="32"/>
        </w:rPr>
        <w:t>（</w:t>
      </w:r>
      <w:r>
        <w:rPr>
          <w:rFonts w:hint="default" w:ascii="Times New Roman" w:hAnsi="Times New Roman" w:eastAsia="仿宋_GB2312" w:cs="Times New Roman"/>
          <w:color w:val="auto"/>
          <w:sz w:val="32"/>
          <w:szCs w:val="32"/>
        </w:rPr>
        <w:t>签名）：</w:t>
      </w:r>
    </w:p>
    <w:p>
      <w:pPr>
        <w:keepNext w:val="0"/>
        <w:keepLines w:val="0"/>
        <w:pageBreakBefore w:val="0"/>
        <w:shd w:val="solid" w:color="FFFFFF" w:fill="auto"/>
        <w:kinsoku/>
        <w:wordWrap/>
        <w:overflowPunct/>
        <w:topLinePunct w:val="0"/>
        <w:autoSpaceDE/>
        <w:autoSpaceDN w:val="0"/>
        <w:bidi w:val="0"/>
        <w:adjustRightInd/>
        <w:snapToGrid/>
        <w:spacing w:line="560" w:lineRule="exact"/>
        <w:ind w:left="0"/>
        <w:textAlignment w:val="auto"/>
        <w:rPr>
          <w:rFonts w:hint="default" w:ascii="Times New Roman" w:hAnsi="Times New Roman" w:eastAsia="仿宋_GB2312" w:cs="Times New Roman"/>
          <w:b/>
          <w:bCs/>
          <w:color w:val="auto"/>
          <w:sz w:val="32"/>
          <w:szCs w:val="32"/>
        </w:rPr>
      </w:pPr>
    </w:p>
    <w:p>
      <w:pPr>
        <w:keepNext w:val="0"/>
        <w:keepLines w:val="0"/>
        <w:pageBreakBefore w:val="0"/>
        <w:shd w:val="solid" w:color="FFFFFF" w:fill="auto"/>
        <w:kinsoku/>
        <w:wordWrap/>
        <w:overflowPunct/>
        <w:topLinePunct w:val="0"/>
        <w:autoSpaceDE/>
        <w:autoSpaceDN w:val="0"/>
        <w:bidi w:val="0"/>
        <w:adjustRightInd/>
        <w:snapToGrid/>
        <w:spacing w:line="560" w:lineRule="exact"/>
        <w:ind w:left="0" w:firstLine="4480" w:firstLineChars="1400"/>
        <w:textAlignment w:val="auto"/>
        <w:rPr>
          <w:rFonts w:hint="default" w:ascii="Times New Roman" w:hAnsi="Times New Roman" w:eastAsia="仿宋_GB2312" w:cs="Times New Roman"/>
          <w:b/>
          <w:bCs/>
          <w:color w:val="auto"/>
          <w:sz w:val="32"/>
          <w:szCs w:val="32"/>
          <w:shd w:val="clear" w:color="auto" w:fill="FFFFFF"/>
        </w:rPr>
      </w:pPr>
      <w:r>
        <w:rPr>
          <w:rFonts w:hint="default" w:ascii="Times New Roman" w:hAnsi="Times New Roman" w:eastAsia="仿宋_GB2312" w:cs="Times New Roman"/>
          <w:bCs/>
          <w:color w:val="auto"/>
          <w:sz w:val="32"/>
          <w:szCs w:val="32"/>
        </w:rPr>
        <w:t>日期：</w:t>
      </w:r>
      <w:r>
        <w:rPr>
          <w:rFonts w:hint="default" w:ascii="Times New Roman" w:hAnsi="Times New Roman" w:eastAsia="仿宋_GB2312" w:cs="Times New Roman"/>
          <w:color w:val="auto"/>
          <w:sz w:val="32"/>
          <w:szCs w:val="32"/>
        </w:rPr>
        <w:t xml:space="preserve">      年    月   日</w:t>
      </w:r>
    </w:p>
    <w:p>
      <w:pPr>
        <w:keepNext w:val="0"/>
        <w:keepLines w:val="0"/>
        <w:pageBreakBefore w:val="0"/>
        <w:kinsoku/>
        <w:wordWrap/>
        <w:overflowPunct/>
        <w:topLinePunct w:val="0"/>
        <w:autoSpaceDE/>
        <w:bidi w:val="0"/>
        <w:adjustRightInd/>
        <w:snapToGrid/>
        <w:spacing w:line="560" w:lineRule="exact"/>
        <w:ind w:left="0"/>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仿宋_GB2312" w:cs="Times New Roman"/>
          <w:bCs/>
          <w:color w:val="auto"/>
          <w:sz w:val="32"/>
          <w:szCs w:val="32"/>
        </w:rPr>
        <w:br w:type="page"/>
      </w:r>
      <w:r>
        <w:rPr>
          <w:rFonts w:hint="default" w:ascii="Times New Roman" w:hAnsi="Times New Roman" w:eastAsia="黑体" w:cs="Times New Roman"/>
          <w:bCs/>
          <w:color w:val="auto"/>
          <w:sz w:val="32"/>
          <w:szCs w:val="32"/>
        </w:rPr>
        <w:t>附件10</w:t>
      </w:r>
    </w:p>
    <w:p>
      <w:pPr>
        <w:keepNext w:val="0"/>
        <w:keepLines w:val="0"/>
        <w:pageBreakBefore w:val="0"/>
        <w:kinsoku/>
        <w:wordWrap/>
        <w:overflowPunct/>
        <w:topLinePunct w:val="0"/>
        <w:autoSpaceDE/>
        <w:bidi w:val="0"/>
        <w:adjustRightInd/>
        <w:snapToGrid/>
        <w:spacing w:line="560" w:lineRule="exact"/>
        <w:ind w:left="0"/>
        <w:jc w:val="left"/>
        <w:textAlignment w:val="auto"/>
        <w:rPr>
          <w:rFonts w:hint="default" w:ascii="Times New Roman" w:hAnsi="Times New Roman" w:eastAsia="黑体" w:cs="Times New Roman"/>
          <w:bCs/>
          <w:color w:val="auto"/>
          <w:sz w:val="32"/>
          <w:szCs w:val="32"/>
        </w:rPr>
      </w:pPr>
    </w:p>
    <w:p>
      <w:pPr>
        <w:keepNext w:val="0"/>
        <w:keepLines w:val="0"/>
        <w:pageBreakBefore w:val="0"/>
        <w:kinsoku/>
        <w:wordWrap/>
        <w:overflowPunct/>
        <w:topLinePunct w:val="0"/>
        <w:autoSpaceDE/>
        <w:bidi w:val="0"/>
        <w:adjustRightInd/>
        <w:snapToGrid/>
        <w:spacing w:line="560" w:lineRule="exact"/>
        <w:ind w:left="0"/>
        <w:jc w:val="center"/>
        <w:textAlignment w:val="auto"/>
        <w:rPr>
          <w:rFonts w:hint="default" w:ascii="Times New Roman" w:hAnsi="Times New Roman" w:eastAsia="方正小标宋简体" w:cs="Times New Roman"/>
          <w:bCs/>
          <w:color w:val="auto"/>
          <w:sz w:val="32"/>
          <w:szCs w:val="32"/>
        </w:rPr>
      </w:pPr>
      <w:r>
        <w:rPr>
          <w:rFonts w:hint="default" w:ascii="Times New Roman" w:hAnsi="Times New Roman" w:eastAsia="仿宋_GB2312" w:cs="Times New Roman"/>
          <w:color w:val="auto"/>
          <w:sz w:val="28"/>
          <w:szCs w:val="28"/>
          <w:u w:val="single"/>
        </w:rPr>
        <w:t xml:space="preserve">                             </w:t>
      </w:r>
      <w:r>
        <w:rPr>
          <w:rFonts w:hint="default" w:ascii="Times New Roman" w:hAnsi="Times New Roman" w:eastAsia="仿宋_GB2312" w:cs="Times New Roman"/>
          <w:color w:val="auto"/>
          <w:sz w:val="28"/>
          <w:szCs w:val="28"/>
        </w:rPr>
        <w:t>（医疗机构）</w:t>
      </w:r>
    </w:p>
    <w:p>
      <w:pPr>
        <w:keepNext w:val="0"/>
        <w:keepLines w:val="0"/>
        <w:pageBreakBefore w:val="0"/>
        <w:widowControl/>
        <w:kinsoku/>
        <w:wordWrap/>
        <w:overflowPunct/>
        <w:topLinePunct w:val="0"/>
        <w:autoSpaceDE/>
        <w:bidi w:val="0"/>
        <w:adjustRightInd/>
        <w:snapToGrid/>
        <w:spacing w:line="560" w:lineRule="exact"/>
        <w:ind w:left="0"/>
        <w:jc w:val="center"/>
        <w:textAlignment w:val="auto"/>
        <w:rPr>
          <w:rFonts w:hint="default" w:ascii="Times New Roman" w:hAnsi="Times New Roman" w:eastAsia="方正小标宋简体" w:cs="Times New Roman"/>
          <w:b w:val="0"/>
          <w:bCs w:val="0"/>
          <w:color w:val="auto"/>
          <w:sz w:val="44"/>
          <w:szCs w:val="44"/>
        </w:rPr>
      </w:pPr>
      <w:r>
        <w:rPr>
          <w:rFonts w:hint="default" w:ascii="Times New Roman" w:hAnsi="Times New Roman" w:eastAsia="方正小标宋简体" w:cs="Times New Roman"/>
          <w:b w:val="0"/>
          <w:bCs w:val="0"/>
          <w:color w:val="auto"/>
          <w:sz w:val="44"/>
          <w:szCs w:val="44"/>
        </w:rPr>
        <w:t>医生诊察记录单</w:t>
      </w:r>
    </w:p>
    <w:p>
      <w:pPr>
        <w:keepNext w:val="0"/>
        <w:keepLines w:val="0"/>
        <w:pageBreakBefore w:val="0"/>
        <w:widowControl w:val="0"/>
        <w:tabs>
          <w:tab w:val="left" w:pos="69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rPr>
        <w:t xml:space="preserve">姓名         年龄         性别        居家号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tabs>
          <w:tab w:val="left" w:pos="69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tabs>
          <w:tab w:val="left" w:pos="69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tabs>
          <w:tab w:val="left" w:pos="69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u w:val="dash"/>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tabs>
          <w:tab w:val="left" w:pos="69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
          <w:color w:val="auto"/>
          <w:sz w:val="32"/>
          <w:szCs w:val="32"/>
        </w:rPr>
      </w:pPr>
      <w:r>
        <w:rPr>
          <w:rFonts w:hint="default" w:ascii="Times New Roman" w:hAnsi="Times New Roman" w:eastAsia="仿宋_GB2312" w:cs="Times New Roman"/>
          <w:color w:val="auto"/>
          <w:sz w:val="32"/>
          <w:szCs w:val="32"/>
          <w:u w:val="dash"/>
        </w:rPr>
        <w:t xml:space="preserve">                                                                     </w:t>
      </w:r>
    </w:p>
    <w:p>
      <w:pPr>
        <w:keepNext w:val="0"/>
        <w:keepLines w:val="0"/>
        <w:pageBreakBefore w:val="0"/>
        <w:widowControl w:val="0"/>
        <w:tabs>
          <w:tab w:val="left" w:pos="6945"/>
        </w:tabs>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bCs/>
          <w:color w:val="auto"/>
          <w:sz w:val="32"/>
          <w:szCs w:val="32"/>
        </w:rPr>
        <w:t>诊察者</w:t>
      </w:r>
      <w:r>
        <w:rPr>
          <w:rFonts w:hint="default" w:ascii="Times New Roman" w:hAnsi="Times New Roman" w:eastAsia="仿宋_GB2312" w:cs="Times New Roman"/>
          <w:color w:val="auto"/>
          <w:sz w:val="32"/>
          <w:szCs w:val="32"/>
        </w:rPr>
        <w:t>签名</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，记录日期：</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u w:val="single"/>
        </w:rPr>
        <w:t xml:space="preserve">    </w:t>
      </w:r>
      <w:r>
        <w:rPr>
          <w:rFonts w:hint="default" w:ascii="Times New Roman" w:hAnsi="Times New Roman" w:eastAsia="仿宋_GB2312" w:cs="Times New Roman"/>
          <w:color w:val="auto"/>
          <w:sz w:val="32"/>
          <w:szCs w:val="32"/>
        </w:rPr>
        <w:t xml:space="preserve">日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ascii="Times New Roman" w:hAnsi="Times New Roman" w:eastAsia="仿宋_GB2312" w:cs="Times New Roman"/>
          <w:bCs/>
          <w:color w:val="auto"/>
          <w:sz w:val="32"/>
          <w:szCs w:val="32"/>
        </w:rPr>
        <w:sectPr>
          <w:pgSz w:w="11906" w:h="16838"/>
          <w:pgMar w:top="2041" w:right="1531" w:bottom="2041" w:left="1531" w:header="851" w:footer="1332" w:gutter="0"/>
          <w:pgNumType w:fmt="numberInDash"/>
          <w:cols w:space="720" w:num="1"/>
          <w:rtlGutter w:val="0"/>
          <w:docGrid w:type="lines" w:linePitch="327" w:charSpace="0"/>
        </w:sectPr>
      </w:pPr>
      <w:r>
        <w:rPr>
          <w:rFonts w:hint="default" w:ascii="Times New Roman" w:hAnsi="Times New Roman" w:eastAsia="仿宋_GB2312" w:cs="Times New Roman"/>
          <w:bCs/>
          <w:color w:val="auto"/>
          <w:sz w:val="32"/>
          <w:szCs w:val="32"/>
        </w:rPr>
        <w:t xml:space="preserve">                       第   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附件11</w:t>
      </w:r>
    </w:p>
    <w:p>
      <w:pPr>
        <w:keepNext w:val="0"/>
        <w:keepLines w:val="0"/>
        <w:pageBreakBefore w:val="0"/>
        <w:widowControl w:val="0"/>
        <w:kinsoku/>
        <w:wordWrap/>
        <w:overflowPunct/>
        <w:topLinePunct w:val="0"/>
        <w:autoSpaceDE/>
        <w:autoSpaceDN/>
        <w:bidi w:val="0"/>
        <w:adjustRightInd/>
        <w:snapToGrid/>
        <w:spacing w:before="165" w:beforeLines="50" w:after="263" w:afterLines="80"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护理记录单</w:t>
      </w:r>
    </w:p>
    <w:tbl>
      <w:tblPr>
        <w:tblStyle w:val="4"/>
        <w:tblW w:w="14340"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015"/>
        <w:gridCol w:w="709"/>
        <w:gridCol w:w="708"/>
        <w:gridCol w:w="709"/>
        <w:gridCol w:w="709"/>
        <w:gridCol w:w="709"/>
        <w:gridCol w:w="1134"/>
        <w:gridCol w:w="850"/>
        <w:gridCol w:w="4635"/>
        <w:gridCol w:w="884"/>
        <w:gridCol w:w="899"/>
        <w:gridCol w:w="137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03" w:hRule="atLeast"/>
          <w:jc w:val="center"/>
        </w:trPr>
        <w:tc>
          <w:tcPr>
            <w:tcW w:w="1015" w:type="dxa"/>
            <w:vMerge w:val="restart"/>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Cs w:val="21"/>
              </w:rPr>
            </w:pPr>
            <w:r>
              <w:rPr>
                <w:rFonts w:hint="eastAsia" w:ascii="黑体" w:hAnsi="黑体" w:eastAsia="黑体" w:cs="黑体"/>
                <w:color w:val="auto"/>
                <w:szCs w:val="21"/>
              </w:rPr>
              <w:t>日期</w:t>
            </w:r>
          </w:p>
        </w:tc>
        <w:tc>
          <w:tcPr>
            <w:tcW w:w="709" w:type="dxa"/>
            <w:vMerge w:val="restart"/>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ind w:right="-438" w:rightChars="-137"/>
              <w:textAlignment w:val="auto"/>
              <w:rPr>
                <w:rFonts w:hint="eastAsia" w:ascii="黑体" w:hAnsi="黑体" w:eastAsia="黑体" w:cs="黑体"/>
                <w:color w:val="auto"/>
                <w:szCs w:val="21"/>
              </w:rPr>
            </w:pPr>
            <w:r>
              <w:rPr>
                <w:rFonts w:hint="eastAsia" w:ascii="黑体" w:hAnsi="黑体" w:eastAsia="黑体" w:cs="黑体"/>
                <w:color w:val="auto"/>
                <w:szCs w:val="21"/>
              </w:rPr>
              <w:t>巡察</w:t>
            </w:r>
          </w:p>
          <w:p>
            <w:pPr>
              <w:keepNext w:val="0"/>
              <w:keepLines w:val="0"/>
              <w:pageBreakBefore w:val="0"/>
              <w:kinsoku/>
              <w:wordWrap/>
              <w:overflowPunct/>
              <w:topLinePunct w:val="0"/>
              <w:autoSpaceDE/>
              <w:autoSpaceDN/>
              <w:bidi w:val="0"/>
              <w:adjustRightInd/>
              <w:snapToGrid/>
              <w:spacing w:line="360" w:lineRule="exact"/>
              <w:ind w:right="-438" w:rightChars="-137"/>
              <w:textAlignment w:val="auto"/>
              <w:rPr>
                <w:rFonts w:hint="eastAsia" w:ascii="黑体" w:hAnsi="黑体" w:eastAsia="黑体" w:cs="黑体"/>
                <w:color w:val="auto"/>
                <w:szCs w:val="21"/>
              </w:rPr>
            </w:pPr>
            <w:r>
              <w:rPr>
                <w:rFonts w:hint="eastAsia" w:ascii="黑体" w:hAnsi="黑体" w:eastAsia="黑体" w:cs="黑体"/>
                <w:color w:val="auto"/>
                <w:szCs w:val="21"/>
              </w:rPr>
              <w:t>时间</w:t>
            </w:r>
          </w:p>
        </w:tc>
        <w:tc>
          <w:tcPr>
            <w:tcW w:w="708"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体温</w:t>
            </w:r>
          </w:p>
        </w:tc>
        <w:tc>
          <w:tcPr>
            <w:tcW w:w="7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脉搏</w:t>
            </w:r>
          </w:p>
        </w:tc>
        <w:tc>
          <w:tcPr>
            <w:tcW w:w="7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心率</w:t>
            </w:r>
          </w:p>
        </w:tc>
        <w:tc>
          <w:tcPr>
            <w:tcW w:w="709"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呼吸</w:t>
            </w:r>
          </w:p>
        </w:tc>
        <w:tc>
          <w:tcPr>
            <w:tcW w:w="1134"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血压</w:t>
            </w:r>
          </w:p>
        </w:tc>
        <w:tc>
          <w:tcPr>
            <w:tcW w:w="8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血糖</w:t>
            </w:r>
          </w:p>
        </w:tc>
        <w:tc>
          <w:tcPr>
            <w:tcW w:w="4635" w:type="dxa"/>
            <w:vMerge w:val="restart"/>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特殊情况记录（包括神志、皮肤、活动能力、睡眠、管道维护等）</w:t>
            </w:r>
          </w:p>
        </w:tc>
        <w:tc>
          <w:tcPr>
            <w:tcW w:w="884" w:type="dxa"/>
            <w:vMerge w:val="restart"/>
            <w:tcBorders>
              <w:top w:val="single" w:color="auto" w:sz="4" w:space="0"/>
              <w:left w:val="single" w:color="auto" w:sz="6" w:space="0"/>
              <w:bottom w:val="single" w:color="auto" w:sz="6"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Cs w:val="21"/>
              </w:rPr>
            </w:pP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Cs w:val="21"/>
              </w:rPr>
            </w:pPr>
            <w:r>
              <w:rPr>
                <w:rFonts w:hint="eastAsia" w:ascii="黑体" w:hAnsi="黑体" w:eastAsia="黑体" w:cs="黑体"/>
                <w:color w:val="auto"/>
                <w:szCs w:val="21"/>
              </w:rPr>
              <w:t>离室</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eastAsia" w:ascii="黑体" w:hAnsi="黑体" w:eastAsia="黑体" w:cs="黑体"/>
                <w:color w:val="auto"/>
                <w:szCs w:val="21"/>
              </w:rPr>
            </w:pPr>
            <w:r>
              <w:rPr>
                <w:rFonts w:hint="eastAsia" w:ascii="黑体" w:hAnsi="黑体" w:eastAsia="黑体" w:cs="黑体"/>
                <w:color w:val="auto"/>
                <w:szCs w:val="21"/>
              </w:rPr>
              <w:t>时间</w:t>
            </w:r>
          </w:p>
        </w:tc>
        <w:tc>
          <w:tcPr>
            <w:tcW w:w="899" w:type="dxa"/>
            <w:vMerge w:val="restart"/>
            <w:tcBorders>
              <w:top w:val="single" w:color="auto" w:sz="4" w:space="0"/>
              <w:left w:val="single" w:color="auto" w:sz="6" w:space="0"/>
              <w:bottom w:val="single" w:color="auto" w:sz="6" w:space="0"/>
              <w:right w:val="single" w:color="auto" w:sz="6"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Cs w:val="21"/>
              </w:rPr>
            </w:pPr>
            <w:r>
              <w:rPr>
                <w:rFonts w:hint="eastAsia" w:ascii="黑体" w:hAnsi="黑体" w:eastAsia="黑体" w:cs="黑体"/>
                <w:color w:val="auto"/>
                <w:szCs w:val="21"/>
              </w:rPr>
              <w:t>签名</w:t>
            </w:r>
          </w:p>
        </w:tc>
        <w:tc>
          <w:tcPr>
            <w:tcW w:w="1379" w:type="dxa"/>
            <w:vMerge w:val="restart"/>
            <w:tcBorders>
              <w:top w:val="single" w:color="auto" w:sz="4" w:space="0"/>
              <w:left w:val="single" w:color="auto" w:sz="6" w:space="0"/>
              <w:bottom w:val="single" w:color="auto" w:sz="6" w:space="0"/>
              <w:right w:val="single" w:color="auto" w:sz="4" w:space="0"/>
            </w:tcBorders>
            <w:noWrap w:val="0"/>
            <w:vAlign w:val="top"/>
          </w:tcPr>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Cs w:val="21"/>
              </w:rPr>
            </w:pPr>
          </w:p>
          <w:p>
            <w:pPr>
              <w:keepNext w:val="0"/>
              <w:keepLines w:val="0"/>
              <w:pageBreakBefore w:val="0"/>
              <w:kinsoku/>
              <w:wordWrap/>
              <w:overflowPunct/>
              <w:topLinePunct w:val="0"/>
              <w:autoSpaceDE/>
              <w:autoSpaceDN/>
              <w:bidi w:val="0"/>
              <w:adjustRightInd/>
              <w:snapToGrid/>
              <w:spacing w:line="360" w:lineRule="exact"/>
              <w:textAlignment w:val="auto"/>
              <w:rPr>
                <w:rFonts w:hint="eastAsia" w:ascii="黑体" w:hAnsi="黑体" w:eastAsia="黑体" w:cs="黑体"/>
                <w:color w:val="auto"/>
                <w:szCs w:val="21"/>
              </w:rPr>
            </w:pPr>
            <w:r>
              <w:rPr>
                <w:rFonts w:hint="eastAsia" w:ascii="黑体" w:hAnsi="黑体" w:eastAsia="黑体" w:cs="黑体"/>
                <w:color w:val="auto"/>
                <w:szCs w:val="21"/>
              </w:rPr>
              <w:t>患者或家属签名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7" w:hRule="atLeast"/>
          <w:jc w:val="center"/>
        </w:trPr>
        <w:tc>
          <w:tcPr>
            <w:tcW w:w="1015" w:type="dxa"/>
            <w:vMerge w:val="continue"/>
            <w:tcBorders>
              <w:top w:val="single" w:color="auto" w:sz="4" w:space="0"/>
              <w:left w:val="single" w:color="auto" w:sz="4"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p>
        </w:tc>
        <w:tc>
          <w:tcPr>
            <w:tcW w:w="709" w:type="dxa"/>
            <w:vMerge w:val="continue"/>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p>
        </w:tc>
        <w:tc>
          <w:tcPr>
            <w:tcW w:w="708"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kern w:val="0"/>
                <w:szCs w:val="21"/>
                <w:vertAlign w:val="superscript"/>
              </w:rPr>
              <w:t>O</w:t>
            </w:r>
            <w:r>
              <w:rPr>
                <w:rFonts w:hint="default" w:ascii="Times New Roman" w:hAnsi="Times New Roman" w:eastAsia="黑体" w:cs="Times New Roman"/>
                <w:color w:val="auto"/>
                <w:kern w:val="0"/>
                <w:szCs w:val="21"/>
              </w:rPr>
              <w:t>C</w:t>
            </w:r>
          </w:p>
        </w:tc>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次/分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次/分</w:t>
            </w:r>
          </w:p>
        </w:tc>
        <w:tc>
          <w:tcPr>
            <w:tcW w:w="709"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次/分</w:t>
            </w:r>
          </w:p>
        </w:tc>
        <w:tc>
          <w:tcPr>
            <w:tcW w:w="1134" w:type="dxa"/>
            <w:tcBorders>
              <w:top w:val="single" w:color="auto" w:sz="6" w:space="0"/>
              <w:left w:val="single" w:color="auto" w:sz="6" w:space="0"/>
              <w:bottom w:val="single" w:color="auto" w:sz="6" w:space="0"/>
              <w:right w:val="single" w:color="auto" w:sz="6" w:space="0"/>
            </w:tcBorders>
            <w:noWrap w:val="0"/>
            <w:vAlign w:val="center"/>
          </w:tcPr>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mm</w:t>
            </w:r>
          </w:p>
          <w:p>
            <w:pPr>
              <w:keepNext w:val="0"/>
              <w:keepLines w:val="0"/>
              <w:pageBreakBefore w:val="0"/>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Hg</w:t>
            </w:r>
          </w:p>
        </w:tc>
        <w:tc>
          <w:tcPr>
            <w:tcW w:w="850" w:type="dxa"/>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auto"/>
              <w:rPr>
                <w:rFonts w:hint="default" w:ascii="Times New Roman" w:hAnsi="Times New Roman" w:eastAsia="黑体" w:cs="Times New Roman"/>
                <w:color w:val="auto"/>
                <w:szCs w:val="21"/>
              </w:rPr>
            </w:pPr>
            <w:r>
              <w:rPr>
                <w:rFonts w:hint="default" w:ascii="Times New Roman" w:hAnsi="Times New Roman" w:eastAsia="黑体" w:cs="Times New Roman"/>
                <w:color w:val="auto"/>
                <w:szCs w:val="21"/>
              </w:rPr>
              <w:t>mmol/L</w:t>
            </w:r>
          </w:p>
        </w:tc>
        <w:tc>
          <w:tcPr>
            <w:tcW w:w="4635" w:type="dxa"/>
            <w:vMerge w:val="continue"/>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eastAsia="黑体" w:cs="Times New Roman"/>
                <w:color w:val="auto"/>
                <w:szCs w:val="21"/>
              </w:rPr>
            </w:pPr>
          </w:p>
        </w:tc>
        <w:tc>
          <w:tcPr>
            <w:tcW w:w="884" w:type="dxa"/>
            <w:vMerge w:val="continue"/>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p>
        </w:tc>
        <w:tc>
          <w:tcPr>
            <w:tcW w:w="899" w:type="dxa"/>
            <w:vMerge w:val="continue"/>
            <w:tcBorders>
              <w:top w:val="single" w:color="auto" w:sz="4" w:space="0"/>
              <w:left w:val="single" w:color="auto" w:sz="6" w:space="0"/>
              <w:bottom w:val="single" w:color="auto" w:sz="6" w:space="0"/>
              <w:right w:val="single" w:color="auto" w:sz="6"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p>
        </w:tc>
        <w:tc>
          <w:tcPr>
            <w:tcW w:w="1379" w:type="dxa"/>
            <w:vMerge w:val="continue"/>
            <w:tcBorders>
              <w:top w:val="single" w:color="auto" w:sz="4" w:space="0"/>
              <w:left w:val="single" w:color="auto" w:sz="6" w:space="0"/>
              <w:bottom w:val="single" w:color="auto" w:sz="6"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33"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884" w:type="dxa"/>
            <w:tcBorders>
              <w:top w:val="single" w:color="auto" w:sz="6" w:space="0"/>
              <w:left w:val="single" w:color="auto" w:sz="6" w:space="0"/>
              <w:bottom w:val="single" w:color="auto" w:sz="6" w:space="0"/>
              <w:right w:val="single" w:color="auto" w:sz="4" w:space="0"/>
            </w:tcBorders>
            <w:noWrap w:val="0"/>
            <w:vAlign w:val="center"/>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223"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015"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8"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70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13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50"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4635"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84"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99"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1379"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bl>
    <w:p>
      <w:pPr>
        <w:keepNext w:val="0"/>
        <w:keepLines w:val="0"/>
        <w:pageBreakBefore w:val="0"/>
        <w:widowControl w:val="0"/>
        <w:kinsoku/>
        <w:wordWrap/>
        <w:overflowPunct/>
        <w:topLinePunct w:val="0"/>
        <w:autoSpaceDE/>
        <w:autoSpaceDN/>
        <w:bidi w:val="0"/>
        <w:adjustRightInd/>
        <w:snapToGrid/>
        <w:spacing w:line="560" w:lineRule="exact"/>
        <w:ind w:right="-467" w:rightChars="-146"/>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姓名：               性别：       年龄：                             居家号/ID号：             首次家访时间：     年    月   日</w:t>
      </w:r>
    </w:p>
    <w:p>
      <w:pPr>
        <w:jc w:val="center"/>
        <w:rPr>
          <w:rFonts w:hint="default" w:ascii="Times New Roman" w:hAnsi="Times New Roman" w:cs="Times New Roman"/>
          <w:b/>
          <w:color w:val="auto"/>
          <w:sz w:val="18"/>
          <w:szCs w:val="18"/>
        </w:rPr>
        <w:sectPr>
          <w:pgSz w:w="16838" w:h="11906" w:orient="landscape"/>
          <w:pgMar w:top="1531" w:right="2041" w:bottom="1531" w:left="2041" w:header="851" w:footer="1332" w:gutter="0"/>
          <w:pgNumType w:fmt="numberInDash"/>
          <w:cols w:space="720" w:num="1"/>
          <w:rtlGutter w:val="0"/>
          <w:docGrid w:type="lines" w:linePitch="327" w:charSpace="0"/>
        </w:sectPr>
      </w:pPr>
      <w:r>
        <w:rPr>
          <w:rFonts w:hint="default" w:ascii="Times New Roman" w:hAnsi="Times New Roman" w:cs="Times New Roman"/>
          <w:b/>
          <w:color w:val="auto"/>
          <w:sz w:val="18"/>
          <w:szCs w:val="18"/>
        </w:rPr>
        <w:t>第    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附件12</w:t>
      </w:r>
    </w:p>
    <w:p>
      <w:pPr>
        <w:keepNext w:val="0"/>
        <w:keepLines w:val="0"/>
        <w:pageBreakBefore w:val="0"/>
        <w:widowControl w:val="0"/>
        <w:kinsoku/>
        <w:wordWrap/>
        <w:overflowPunct/>
        <w:topLinePunct w:val="0"/>
        <w:autoSpaceDE/>
        <w:autoSpaceDN/>
        <w:bidi w:val="0"/>
        <w:adjustRightInd/>
        <w:snapToGrid/>
        <w:spacing w:before="165" w:beforeLines="50" w:after="263" w:afterLines="80"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医疗护理员记录单</w:t>
      </w:r>
    </w:p>
    <w:p>
      <w:pPr>
        <w:keepNext w:val="0"/>
        <w:keepLines w:val="0"/>
        <w:pageBreakBefore w:val="0"/>
        <w:widowControl w:val="0"/>
        <w:kinsoku/>
        <w:wordWrap/>
        <w:overflowPunct/>
        <w:topLinePunct w:val="0"/>
        <w:autoSpaceDE/>
        <w:autoSpaceDN/>
        <w:bidi w:val="0"/>
        <w:adjustRightInd/>
        <w:snapToGrid/>
        <w:spacing w:line="560" w:lineRule="exact"/>
        <w:ind w:right="-467" w:rightChars="-146"/>
        <w:textAlignment w:val="auto"/>
        <w:rPr>
          <w:rFonts w:hint="default" w:ascii="Times New Roman" w:hAnsi="Times New Roman" w:cs="Times New Roman"/>
          <w:color w:val="auto"/>
          <w:szCs w:val="21"/>
        </w:rPr>
      </w:pPr>
      <w:r>
        <w:rPr>
          <w:rFonts w:hint="default" w:ascii="Times New Roman" w:hAnsi="Times New Roman" w:cs="Times New Roman"/>
          <w:color w:val="auto"/>
          <w:szCs w:val="21"/>
        </w:rPr>
        <w:t>姓名：               性别：       年龄：                           居家号/ID号：                 首次家访时间：     年    月   日</w:t>
      </w:r>
    </w:p>
    <w:tbl>
      <w:tblPr>
        <w:tblStyle w:val="4"/>
        <w:tblW w:w="14431"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50"/>
        <w:gridCol w:w="546"/>
        <w:gridCol w:w="682"/>
        <w:gridCol w:w="682"/>
        <w:gridCol w:w="682"/>
        <w:gridCol w:w="681"/>
        <w:gridCol w:w="682"/>
        <w:gridCol w:w="682"/>
        <w:gridCol w:w="682"/>
        <w:gridCol w:w="409"/>
        <w:gridCol w:w="682"/>
        <w:gridCol w:w="681"/>
        <w:gridCol w:w="682"/>
        <w:gridCol w:w="687"/>
        <w:gridCol w:w="682"/>
        <w:gridCol w:w="683"/>
        <w:gridCol w:w="1774"/>
        <w:gridCol w:w="682"/>
        <w:gridCol w:w="682"/>
        <w:gridCol w:w="818"/>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612" w:hRule="atLeast"/>
          <w:jc w:val="center"/>
        </w:trPr>
        <w:tc>
          <w:tcPr>
            <w:tcW w:w="650" w:type="dxa"/>
            <w:vMerge w:val="restart"/>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日期</w:t>
            </w:r>
          </w:p>
        </w:tc>
        <w:tc>
          <w:tcPr>
            <w:tcW w:w="546" w:type="dxa"/>
            <w:vMerge w:val="restart"/>
            <w:tcBorders>
              <w:top w:val="single" w:color="auto" w:sz="4" w:space="0"/>
              <w:left w:val="single" w:color="auto" w:sz="6" w:space="0"/>
              <w:bottom w:val="single" w:color="auto" w:sz="6" w:space="0"/>
              <w:right w:val="single" w:color="auto" w:sz="6" w:space="0"/>
            </w:tcBorders>
            <w:noWrap w:val="0"/>
            <w:vAlign w:val="center"/>
          </w:tcPr>
          <w:p>
            <w:pPr>
              <w:ind w:right="-438" w:rightChars="-137"/>
              <w:rPr>
                <w:rFonts w:hint="eastAsia" w:ascii="黑体" w:hAnsi="黑体" w:eastAsia="黑体" w:cs="黑体"/>
                <w:color w:val="auto"/>
                <w:sz w:val="18"/>
                <w:szCs w:val="18"/>
              </w:rPr>
            </w:pPr>
            <w:r>
              <w:rPr>
                <w:rFonts w:hint="eastAsia" w:ascii="黑体" w:hAnsi="黑体" w:eastAsia="黑体" w:cs="黑体"/>
                <w:color w:val="auto"/>
                <w:sz w:val="18"/>
                <w:szCs w:val="18"/>
              </w:rPr>
              <w:t>巡察</w:t>
            </w:r>
          </w:p>
          <w:p>
            <w:pPr>
              <w:ind w:right="-438" w:rightChars="-137"/>
              <w:rPr>
                <w:rFonts w:hint="eastAsia" w:ascii="黑体" w:hAnsi="黑体" w:eastAsia="黑体" w:cs="黑体"/>
                <w:color w:val="auto"/>
                <w:sz w:val="18"/>
                <w:szCs w:val="18"/>
              </w:rPr>
            </w:pPr>
            <w:r>
              <w:rPr>
                <w:rFonts w:hint="eastAsia" w:ascii="黑体" w:hAnsi="黑体" w:eastAsia="黑体" w:cs="黑体"/>
                <w:color w:val="auto"/>
                <w:sz w:val="18"/>
                <w:szCs w:val="18"/>
              </w:rPr>
              <w:t>时间</w:t>
            </w:r>
          </w:p>
        </w:tc>
        <w:tc>
          <w:tcPr>
            <w:tcW w:w="68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体温</w:t>
            </w:r>
          </w:p>
        </w:tc>
        <w:tc>
          <w:tcPr>
            <w:tcW w:w="68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脉搏</w:t>
            </w:r>
          </w:p>
        </w:tc>
        <w:tc>
          <w:tcPr>
            <w:tcW w:w="68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呼吸</w:t>
            </w:r>
          </w:p>
        </w:tc>
        <w:tc>
          <w:tcPr>
            <w:tcW w:w="681"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血压</w:t>
            </w:r>
          </w:p>
        </w:tc>
        <w:tc>
          <w:tcPr>
            <w:tcW w:w="682" w:type="dxa"/>
            <w:tcBorders>
              <w:top w:val="single" w:color="auto" w:sz="4" w:space="0"/>
              <w:left w:val="single" w:color="auto" w:sz="6"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血糖</w:t>
            </w:r>
          </w:p>
        </w:tc>
        <w:tc>
          <w:tcPr>
            <w:tcW w:w="4505" w:type="dxa"/>
            <w:gridSpan w:val="7"/>
            <w:tcBorders>
              <w:top w:val="single" w:color="auto" w:sz="4" w:space="0"/>
              <w:left w:val="single" w:color="auto" w:sz="6" w:space="0"/>
              <w:bottom w:val="single" w:color="auto" w:sz="4" w:space="0"/>
              <w:right w:val="single" w:color="auto" w:sz="4"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生活照料</w:t>
            </w:r>
          </w:p>
        </w:tc>
        <w:tc>
          <w:tcPr>
            <w:tcW w:w="136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用药</w:t>
            </w:r>
          </w:p>
        </w:tc>
        <w:tc>
          <w:tcPr>
            <w:tcW w:w="1774" w:type="dxa"/>
            <w:vMerge w:val="restart"/>
            <w:tcBorders>
              <w:top w:val="single" w:color="auto" w:sz="4" w:space="0"/>
              <w:left w:val="single" w:color="auto" w:sz="4" w:space="0"/>
              <w:bottom w:val="single" w:color="auto" w:sz="6" w:space="0"/>
              <w:right w:val="single" w:color="auto" w:sz="6" w:space="0"/>
            </w:tcBorders>
            <w:noWrap w:val="0"/>
            <w:vAlign w:val="center"/>
          </w:tcPr>
          <w:p>
            <w:pPr>
              <w:jc w:val="center"/>
              <w:rPr>
                <w:rFonts w:hint="eastAsia" w:ascii="黑体" w:hAnsi="黑体" w:eastAsia="黑体" w:cs="黑体"/>
                <w:color w:val="auto"/>
                <w:sz w:val="18"/>
                <w:szCs w:val="18"/>
              </w:rPr>
            </w:pPr>
            <w:r>
              <w:rPr>
                <w:rFonts w:hint="eastAsia" w:ascii="黑体" w:hAnsi="黑体" w:eastAsia="黑体" w:cs="黑体"/>
                <w:color w:val="auto"/>
                <w:sz w:val="18"/>
                <w:szCs w:val="18"/>
              </w:rPr>
              <w:t>备注</w:t>
            </w:r>
          </w:p>
        </w:tc>
        <w:tc>
          <w:tcPr>
            <w:tcW w:w="682" w:type="dxa"/>
            <w:vMerge w:val="restart"/>
            <w:tcBorders>
              <w:top w:val="single" w:color="auto" w:sz="4" w:space="0"/>
              <w:left w:val="single" w:color="auto" w:sz="6" w:space="0"/>
              <w:bottom w:val="single" w:color="auto" w:sz="6" w:space="0"/>
              <w:right w:val="single" w:color="auto" w:sz="4" w:space="0"/>
            </w:tcBorders>
            <w:noWrap w:val="0"/>
            <w:vAlign w:val="top"/>
          </w:tcPr>
          <w:p>
            <w:pPr>
              <w:jc w:val="center"/>
              <w:rPr>
                <w:rFonts w:hint="eastAsia" w:ascii="黑体" w:hAnsi="黑体" w:eastAsia="黑体" w:cs="黑体"/>
                <w:color w:val="auto"/>
                <w:sz w:val="20"/>
                <w:szCs w:val="21"/>
              </w:rPr>
            </w:pPr>
          </w:p>
          <w:p>
            <w:pPr>
              <w:jc w:val="center"/>
              <w:rPr>
                <w:rFonts w:hint="eastAsia" w:ascii="黑体" w:hAnsi="黑体" w:eastAsia="黑体" w:cs="黑体"/>
                <w:color w:val="auto"/>
                <w:sz w:val="20"/>
                <w:szCs w:val="21"/>
              </w:rPr>
            </w:pPr>
            <w:r>
              <w:rPr>
                <w:rFonts w:hint="eastAsia" w:ascii="黑体" w:hAnsi="黑体" w:eastAsia="黑体" w:cs="黑体"/>
                <w:color w:val="auto"/>
                <w:sz w:val="20"/>
                <w:szCs w:val="21"/>
              </w:rPr>
              <w:t>离室</w:t>
            </w:r>
          </w:p>
          <w:p>
            <w:pPr>
              <w:jc w:val="center"/>
              <w:rPr>
                <w:rFonts w:hint="eastAsia" w:ascii="黑体" w:hAnsi="黑体" w:eastAsia="黑体" w:cs="黑体"/>
                <w:color w:val="auto"/>
                <w:sz w:val="20"/>
                <w:szCs w:val="21"/>
              </w:rPr>
            </w:pPr>
            <w:r>
              <w:rPr>
                <w:rFonts w:hint="eastAsia" w:ascii="黑体" w:hAnsi="黑体" w:eastAsia="黑体" w:cs="黑体"/>
                <w:color w:val="auto"/>
                <w:sz w:val="20"/>
                <w:szCs w:val="21"/>
              </w:rPr>
              <w:t>时间</w:t>
            </w:r>
          </w:p>
        </w:tc>
        <w:tc>
          <w:tcPr>
            <w:tcW w:w="682" w:type="dxa"/>
            <w:vMerge w:val="restart"/>
            <w:tcBorders>
              <w:top w:val="single" w:color="auto" w:sz="4" w:space="0"/>
              <w:left w:val="single" w:color="auto" w:sz="6" w:space="0"/>
              <w:bottom w:val="single" w:color="auto" w:sz="6" w:space="0"/>
              <w:right w:val="single" w:color="auto" w:sz="6" w:space="0"/>
            </w:tcBorders>
            <w:noWrap w:val="0"/>
            <w:vAlign w:val="top"/>
          </w:tcPr>
          <w:p>
            <w:pPr>
              <w:rPr>
                <w:rFonts w:hint="eastAsia" w:ascii="黑体" w:hAnsi="黑体" w:eastAsia="黑体" w:cs="黑体"/>
                <w:color w:val="auto"/>
                <w:sz w:val="20"/>
                <w:szCs w:val="21"/>
              </w:rPr>
            </w:pPr>
          </w:p>
          <w:p>
            <w:pPr>
              <w:rPr>
                <w:rFonts w:hint="eastAsia" w:ascii="黑体" w:hAnsi="黑体" w:eastAsia="黑体" w:cs="黑体"/>
                <w:color w:val="auto"/>
                <w:sz w:val="20"/>
                <w:szCs w:val="21"/>
              </w:rPr>
            </w:pPr>
            <w:r>
              <w:rPr>
                <w:rFonts w:hint="eastAsia" w:ascii="黑体" w:hAnsi="黑体" w:eastAsia="黑体" w:cs="黑体"/>
                <w:color w:val="auto"/>
                <w:sz w:val="20"/>
                <w:szCs w:val="21"/>
              </w:rPr>
              <w:t>签名</w:t>
            </w:r>
          </w:p>
        </w:tc>
        <w:tc>
          <w:tcPr>
            <w:tcW w:w="818" w:type="dxa"/>
            <w:vMerge w:val="restart"/>
            <w:tcBorders>
              <w:top w:val="single" w:color="auto" w:sz="4" w:space="0"/>
              <w:left w:val="single" w:color="auto" w:sz="6" w:space="0"/>
              <w:bottom w:val="single" w:color="auto" w:sz="6" w:space="0"/>
              <w:right w:val="single" w:color="auto" w:sz="4" w:space="0"/>
            </w:tcBorders>
            <w:noWrap w:val="0"/>
            <w:vAlign w:val="top"/>
          </w:tcPr>
          <w:p>
            <w:pPr>
              <w:rPr>
                <w:rFonts w:hint="eastAsia" w:ascii="黑体" w:hAnsi="黑体" w:eastAsia="黑体" w:cs="黑体"/>
                <w:color w:val="auto"/>
                <w:sz w:val="20"/>
                <w:szCs w:val="21"/>
              </w:rPr>
            </w:pPr>
          </w:p>
          <w:p>
            <w:pPr>
              <w:rPr>
                <w:rFonts w:hint="eastAsia" w:ascii="黑体" w:hAnsi="黑体" w:eastAsia="黑体" w:cs="黑体"/>
                <w:color w:val="auto"/>
                <w:sz w:val="20"/>
                <w:szCs w:val="21"/>
              </w:rPr>
            </w:pPr>
            <w:r>
              <w:rPr>
                <w:rFonts w:hint="eastAsia" w:ascii="黑体" w:hAnsi="黑体" w:eastAsia="黑体" w:cs="黑体"/>
                <w:color w:val="auto"/>
                <w:sz w:val="20"/>
                <w:szCs w:val="21"/>
              </w:rPr>
              <w:t>患者或家属签名</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704" w:hRule="atLeast"/>
          <w:jc w:val="center"/>
        </w:trPr>
        <w:tc>
          <w:tcPr>
            <w:tcW w:w="650"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hint="default" w:ascii="Times New Roman" w:hAnsi="Times New Roman" w:cs="Times New Roman"/>
                <w:color w:val="auto"/>
                <w:szCs w:val="21"/>
              </w:rPr>
            </w:pPr>
          </w:p>
        </w:tc>
        <w:tc>
          <w:tcPr>
            <w:tcW w:w="546" w:type="dxa"/>
            <w:vMerge w:val="continue"/>
            <w:tcBorders>
              <w:top w:val="single" w:color="auto" w:sz="4"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color w:val="auto"/>
                <w:szCs w:val="21"/>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kern w:val="0"/>
                <w:sz w:val="18"/>
                <w:szCs w:val="18"/>
                <w:vertAlign w:val="superscript"/>
              </w:rPr>
              <w:t>O</w:t>
            </w:r>
            <w:r>
              <w:rPr>
                <w:rFonts w:hint="default" w:ascii="Times New Roman" w:hAnsi="Times New Roman" w:eastAsia="黑体" w:cs="Times New Roman"/>
                <w:color w:val="auto"/>
                <w:kern w:val="0"/>
                <w:sz w:val="18"/>
                <w:szCs w:val="18"/>
              </w:rPr>
              <w:t>C</w:t>
            </w:r>
          </w:p>
        </w:tc>
        <w:tc>
          <w:tcPr>
            <w:tcW w:w="6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次/分</w:t>
            </w:r>
          </w:p>
        </w:tc>
        <w:tc>
          <w:tcPr>
            <w:tcW w:w="682"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次/分</w:t>
            </w:r>
          </w:p>
        </w:tc>
        <w:tc>
          <w:tcPr>
            <w:tcW w:w="681" w:type="dxa"/>
            <w:tcBorders>
              <w:top w:val="single" w:color="auto" w:sz="6" w:space="0"/>
              <w:left w:val="single" w:color="auto" w:sz="6" w:space="0"/>
              <w:bottom w:val="single" w:color="auto" w:sz="6" w:space="0"/>
              <w:right w:val="single" w:color="auto" w:sz="6" w:space="0"/>
            </w:tcBorders>
            <w:noWrap w:val="0"/>
            <w:vAlign w:val="center"/>
          </w:tcPr>
          <w:p>
            <w:pPr>
              <w:jc w:val="cente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mmHg</w:t>
            </w:r>
          </w:p>
        </w:tc>
        <w:tc>
          <w:tcPr>
            <w:tcW w:w="682" w:type="dxa"/>
            <w:tcBorders>
              <w:top w:val="single" w:color="auto" w:sz="4" w:space="0"/>
              <w:left w:val="single" w:color="auto" w:sz="6" w:space="0"/>
              <w:bottom w:val="single" w:color="auto" w:sz="6" w:space="0"/>
              <w:right w:val="single" w:color="auto" w:sz="6" w:space="0"/>
            </w:tcBorders>
            <w:noWrap w:val="0"/>
            <w:vAlign w:val="center"/>
          </w:tcPr>
          <w:p>
            <w:pPr>
              <w:widowControl/>
              <w:jc w:val="center"/>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mmol/L</w:t>
            </w:r>
          </w:p>
        </w:tc>
        <w:tc>
          <w:tcPr>
            <w:tcW w:w="682" w:type="dxa"/>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口腔清洁</w:t>
            </w:r>
          </w:p>
        </w:tc>
        <w:tc>
          <w:tcPr>
            <w:tcW w:w="682"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皮肤清洁</w:t>
            </w:r>
          </w:p>
        </w:tc>
        <w:tc>
          <w:tcPr>
            <w:tcW w:w="409"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kern w:val="0"/>
                <w:sz w:val="18"/>
                <w:szCs w:val="18"/>
              </w:rPr>
              <w:t>洗头</w:t>
            </w:r>
          </w:p>
        </w:tc>
        <w:tc>
          <w:tcPr>
            <w:tcW w:w="682"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kern w:val="0"/>
                <w:sz w:val="18"/>
                <w:szCs w:val="18"/>
              </w:rPr>
              <w:t>修剪指甲</w:t>
            </w:r>
          </w:p>
        </w:tc>
        <w:tc>
          <w:tcPr>
            <w:tcW w:w="681"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kern w:val="0"/>
                <w:sz w:val="18"/>
                <w:szCs w:val="18"/>
              </w:rPr>
              <w:t>打扫卫生</w:t>
            </w:r>
          </w:p>
        </w:tc>
        <w:tc>
          <w:tcPr>
            <w:tcW w:w="682"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kern w:val="0"/>
                <w:sz w:val="18"/>
                <w:szCs w:val="18"/>
              </w:rPr>
              <w:t>更换床单</w:t>
            </w:r>
          </w:p>
        </w:tc>
        <w:tc>
          <w:tcPr>
            <w:tcW w:w="687" w:type="dxa"/>
            <w:tcBorders>
              <w:top w:val="single" w:color="auto" w:sz="4" w:space="0"/>
              <w:left w:val="single" w:color="auto" w:sz="4" w:space="0"/>
              <w:bottom w:val="single" w:color="auto" w:sz="6" w:space="0"/>
              <w:right w:val="single" w:color="auto" w:sz="4" w:space="0"/>
            </w:tcBorders>
            <w:noWrap w:val="0"/>
            <w:vAlign w:val="top"/>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其它</w:t>
            </w:r>
          </w:p>
        </w:tc>
        <w:tc>
          <w:tcPr>
            <w:tcW w:w="682"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正确服药</w:t>
            </w:r>
          </w:p>
        </w:tc>
        <w:tc>
          <w:tcPr>
            <w:tcW w:w="683" w:type="dxa"/>
            <w:tcBorders>
              <w:top w:val="single" w:color="auto" w:sz="4" w:space="0"/>
              <w:left w:val="single" w:color="auto" w:sz="4" w:space="0"/>
              <w:bottom w:val="single" w:color="auto" w:sz="6" w:space="0"/>
              <w:right w:val="single" w:color="auto" w:sz="4" w:space="0"/>
            </w:tcBorders>
            <w:noWrap w:val="0"/>
            <w:vAlign w:val="center"/>
          </w:tcPr>
          <w:p>
            <w:pPr>
              <w:widowControl/>
              <w:jc w:val="left"/>
              <w:rPr>
                <w:rFonts w:hint="default" w:ascii="Times New Roman" w:hAnsi="Times New Roman" w:eastAsia="黑体" w:cs="Times New Roman"/>
                <w:color w:val="auto"/>
                <w:sz w:val="18"/>
                <w:szCs w:val="18"/>
              </w:rPr>
            </w:pPr>
            <w:r>
              <w:rPr>
                <w:rFonts w:hint="default" w:ascii="Times New Roman" w:hAnsi="Times New Roman" w:eastAsia="黑体" w:cs="Times New Roman"/>
                <w:color w:val="auto"/>
                <w:sz w:val="18"/>
                <w:szCs w:val="18"/>
              </w:rPr>
              <w:t>药品检查</w:t>
            </w:r>
          </w:p>
        </w:tc>
        <w:tc>
          <w:tcPr>
            <w:tcW w:w="1774" w:type="dxa"/>
            <w:vMerge w:val="continue"/>
            <w:tcBorders>
              <w:top w:val="single" w:color="auto" w:sz="4" w:space="0"/>
              <w:left w:val="single" w:color="auto" w:sz="4" w:space="0"/>
              <w:bottom w:val="single" w:color="auto" w:sz="6" w:space="0"/>
              <w:right w:val="single" w:color="auto" w:sz="6" w:space="0"/>
            </w:tcBorders>
            <w:noWrap w:val="0"/>
            <w:vAlign w:val="center"/>
          </w:tcPr>
          <w:p>
            <w:pPr>
              <w:widowControl/>
              <w:jc w:val="left"/>
              <w:rPr>
                <w:rFonts w:hint="default" w:ascii="Times New Roman" w:hAnsi="Times New Roman" w:cs="Times New Roman"/>
                <w:color w:val="auto"/>
                <w:sz w:val="18"/>
                <w:szCs w:val="18"/>
              </w:rPr>
            </w:pPr>
          </w:p>
        </w:tc>
        <w:tc>
          <w:tcPr>
            <w:tcW w:w="682"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default" w:ascii="Times New Roman" w:hAnsi="Times New Roman" w:cs="Times New Roman"/>
                <w:color w:val="auto"/>
                <w:szCs w:val="21"/>
              </w:rPr>
            </w:pPr>
          </w:p>
        </w:tc>
        <w:tc>
          <w:tcPr>
            <w:tcW w:w="682" w:type="dxa"/>
            <w:vMerge w:val="continue"/>
            <w:tcBorders>
              <w:top w:val="single" w:color="auto" w:sz="4" w:space="0"/>
              <w:left w:val="single" w:color="auto" w:sz="6" w:space="0"/>
              <w:bottom w:val="single" w:color="auto" w:sz="6" w:space="0"/>
              <w:right w:val="single" w:color="auto" w:sz="6" w:space="0"/>
            </w:tcBorders>
            <w:noWrap w:val="0"/>
            <w:vAlign w:val="center"/>
          </w:tcPr>
          <w:p>
            <w:pPr>
              <w:widowControl/>
              <w:jc w:val="left"/>
              <w:rPr>
                <w:rFonts w:hint="default" w:ascii="Times New Roman" w:hAnsi="Times New Roman" w:cs="Times New Roman"/>
                <w:color w:val="auto"/>
                <w:szCs w:val="21"/>
              </w:rPr>
            </w:pPr>
          </w:p>
        </w:tc>
        <w:tc>
          <w:tcPr>
            <w:tcW w:w="818" w:type="dxa"/>
            <w:vMerge w:val="continue"/>
            <w:tcBorders>
              <w:top w:val="single" w:color="auto" w:sz="4" w:space="0"/>
              <w:left w:val="single" w:color="auto" w:sz="6" w:space="0"/>
              <w:bottom w:val="single" w:color="auto" w:sz="6" w:space="0"/>
              <w:right w:val="single" w:color="auto" w:sz="4" w:space="0"/>
            </w:tcBorders>
            <w:noWrap w:val="0"/>
            <w:vAlign w:val="center"/>
          </w:tcPr>
          <w:p>
            <w:pPr>
              <w:widowControl/>
              <w:jc w:val="left"/>
              <w:rPr>
                <w:rFonts w:hint="default" w:ascii="Times New Roman" w:hAnsi="Times New Roman" w:cs="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center"/>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center"/>
          </w:tcPr>
          <w:p>
            <w:pPr>
              <w:widowControl/>
              <w:spacing w:line="360" w:lineRule="auto"/>
              <w:jc w:val="center"/>
              <w:rPr>
                <w:rFonts w:hint="default" w:ascii="Times New Roman" w:hAnsi="Times New Roman" w:cs="Times New Roman"/>
                <w:color w:val="auto"/>
                <w:kern w:val="0"/>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4"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19" w:hRule="atLeast"/>
          <w:jc w:val="center"/>
        </w:trPr>
        <w:tc>
          <w:tcPr>
            <w:tcW w:w="650"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546"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center"/>
          </w:tcPr>
          <w:p>
            <w:pPr>
              <w:spacing w:line="360" w:lineRule="auto"/>
              <w:jc w:val="center"/>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409"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1"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7"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683" w:type="dxa"/>
            <w:tcBorders>
              <w:top w:val="single" w:color="auto" w:sz="6" w:space="0"/>
              <w:left w:val="single" w:color="auto" w:sz="4"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c>
          <w:tcPr>
            <w:tcW w:w="1774" w:type="dxa"/>
            <w:tcBorders>
              <w:top w:val="single" w:color="auto" w:sz="6" w:space="0"/>
              <w:left w:val="single" w:color="auto" w:sz="4"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682" w:type="dxa"/>
            <w:tcBorders>
              <w:top w:val="single" w:color="auto" w:sz="6" w:space="0"/>
              <w:left w:val="single" w:color="auto" w:sz="6" w:space="0"/>
              <w:bottom w:val="single" w:color="auto" w:sz="6" w:space="0"/>
              <w:right w:val="single" w:color="auto" w:sz="6" w:space="0"/>
            </w:tcBorders>
            <w:noWrap w:val="0"/>
            <w:vAlign w:val="top"/>
          </w:tcPr>
          <w:p>
            <w:pPr>
              <w:spacing w:line="360" w:lineRule="auto"/>
              <w:rPr>
                <w:rFonts w:hint="default" w:ascii="Times New Roman" w:hAnsi="Times New Roman" w:cs="Times New Roman"/>
                <w:color w:val="auto"/>
                <w:sz w:val="24"/>
                <w:szCs w:val="28"/>
              </w:rPr>
            </w:pPr>
          </w:p>
        </w:tc>
        <w:tc>
          <w:tcPr>
            <w:tcW w:w="818" w:type="dxa"/>
            <w:tcBorders>
              <w:top w:val="single" w:color="auto" w:sz="6" w:space="0"/>
              <w:left w:val="single" w:color="auto" w:sz="6" w:space="0"/>
              <w:bottom w:val="single" w:color="auto" w:sz="6" w:space="0"/>
              <w:right w:val="single" w:color="auto" w:sz="4" w:space="0"/>
            </w:tcBorders>
            <w:noWrap w:val="0"/>
            <w:vAlign w:val="top"/>
          </w:tcPr>
          <w:p>
            <w:pPr>
              <w:spacing w:line="360" w:lineRule="auto"/>
              <w:rPr>
                <w:rFonts w:hint="default" w:ascii="Times New Roman" w:hAnsi="Times New Roman" w:cs="Times New Roman"/>
                <w:color w:val="auto"/>
                <w:sz w:val="24"/>
                <w:szCs w:val="28"/>
              </w:rPr>
            </w:pPr>
          </w:p>
        </w:tc>
      </w:tr>
    </w:tbl>
    <w:p>
      <w:pPr>
        <w:jc w:val="center"/>
        <w:rPr>
          <w:rFonts w:hint="default" w:ascii="Times New Roman" w:hAnsi="Times New Roman" w:cs="Times New Roman"/>
          <w:b/>
          <w:color w:val="auto"/>
          <w:sz w:val="18"/>
          <w:szCs w:val="18"/>
        </w:rPr>
        <w:sectPr>
          <w:pgSz w:w="16838" w:h="11906" w:orient="landscape"/>
          <w:pgMar w:top="1531" w:right="2041" w:bottom="1531" w:left="2041" w:header="851" w:footer="1332" w:gutter="0"/>
          <w:pgNumType w:fmt="numberInDash"/>
          <w:cols w:space="720" w:num="1"/>
          <w:rtlGutter w:val="0"/>
          <w:docGrid w:type="lines" w:linePitch="327" w:charSpace="0"/>
        </w:sectPr>
      </w:pPr>
      <w:r>
        <w:rPr>
          <w:rFonts w:hint="default" w:ascii="Times New Roman" w:hAnsi="Times New Roman" w:cs="Times New Roman"/>
          <w:b/>
          <w:color w:val="auto"/>
          <w:sz w:val="18"/>
          <w:szCs w:val="18"/>
        </w:rPr>
        <w:t>第    页</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附件13</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老年人居家医疗健康服务满意度调查表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bCs/>
          <w:color w:val="auto"/>
          <w:sz w:val="24"/>
          <w:u w:val="single"/>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bCs/>
          <w:color w:val="auto"/>
          <w:sz w:val="28"/>
          <w:szCs w:val="28"/>
        </w:rPr>
      </w:pPr>
      <w:r>
        <w:rPr>
          <w:rFonts w:hint="default" w:ascii="Times New Roman" w:hAnsi="Times New Roman" w:eastAsia="方正小标宋简体" w:cs="Times New Roman"/>
          <w:bCs/>
          <w:color w:val="auto"/>
          <w:sz w:val="24"/>
          <w:u w:val="single"/>
        </w:rPr>
        <w:t xml:space="preserve">                              </w:t>
      </w:r>
      <w:r>
        <w:rPr>
          <w:rFonts w:hint="default" w:ascii="Times New Roman" w:hAnsi="Times New Roman" w:eastAsia="方正小标宋简体" w:cs="Times New Roman"/>
          <w:bCs/>
          <w:color w:val="auto"/>
          <w:sz w:val="28"/>
          <w:szCs w:val="28"/>
        </w:rPr>
        <w:t>（医疗机构）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小标宋简体" w:cs="Times New Roman"/>
          <w:bCs/>
          <w:color w:val="auto"/>
          <w:sz w:val="24"/>
          <w:u w:val="single"/>
        </w:rPr>
      </w:pPr>
      <w:r>
        <w:rPr>
          <w:rFonts w:hint="default" w:ascii="Times New Roman" w:hAnsi="Times New Roman" w:eastAsia="仿宋_GB2312" w:cs="Times New Roman"/>
          <w:color w:val="auto"/>
          <w:sz w:val="28"/>
          <w:szCs w:val="28"/>
        </w:rPr>
        <w:t>（责任医务人员</w:t>
      </w:r>
      <w:r>
        <w:rPr>
          <w:rFonts w:hint="default" w:ascii="Times New Roman" w:hAnsi="Times New Roman" w:eastAsia="宋体" w:cs="Times New Roman"/>
          <w:color w:val="auto"/>
          <w:sz w:val="28"/>
          <w:szCs w:val="28"/>
        </w:rPr>
        <w:t>□</w:t>
      </w:r>
      <w:r>
        <w:rPr>
          <w:rFonts w:hint="default" w:ascii="Times New Roman" w:hAnsi="Times New Roman" w:eastAsia="仿宋_GB2312" w:cs="Times New Roman"/>
          <w:color w:val="auto"/>
          <w:sz w:val="28"/>
          <w:szCs w:val="28"/>
        </w:rPr>
        <w:t>医疗护理员</w:t>
      </w:r>
      <w:r>
        <w:rPr>
          <w:rFonts w:hint="default" w:ascii="Times New Roman" w:hAnsi="Times New Roman" w:eastAsia="宋体" w:cs="Times New Roman"/>
          <w:color w:val="auto"/>
          <w:sz w:val="28"/>
          <w:szCs w:val="28"/>
        </w:rPr>
        <w:t>□</w:t>
      </w:r>
      <w:r>
        <w:rPr>
          <w:rFonts w:hint="default" w:ascii="Times New Roman" w:hAnsi="Times New Roman" w:eastAsia="仿宋_GB2312" w:cs="Times New Roman"/>
          <w:color w:val="auto"/>
          <w:sz w:val="28"/>
          <w:szCs w:val="28"/>
        </w:rPr>
        <w:t>）</w:t>
      </w:r>
      <w:r>
        <w:rPr>
          <w:rFonts w:hint="default" w:ascii="Times New Roman" w:hAnsi="Times New Roman" w:eastAsia="方正小标宋简体" w:cs="Times New Roman"/>
          <w:bCs/>
          <w:color w:val="auto"/>
          <w:sz w:val="28"/>
        </w:rPr>
        <w:t>姓名</w:t>
      </w:r>
      <w:r>
        <w:rPr>
          <w:rFonts w:hint="default" w:ascii="Times New Roman" w:hAnsi="Times New Roman" w:eastAsia="方正小标宋简体" w:cs="Times New Roman"/>
          <w:bCs/>
          <w:color w:val="auto"/>
          <w:sz w:val="24"/>
        </w:rPr>
        <w:t>：</w:t>
      </w:r>
      <w:r>
        <w:rPr>
          <w:rFonts w:hint="default" w:ascii="Times New Roman" w:hAnsi="Times New Roman" w:eastAsia="方正小标宋简体" w:cs="Times New Roman"/>
          <w:bCs/>
          <w:color w:val="auto"/>
          <w:sz w:val="24"/>
          <w:u w:val="single"/>
        </w:rPr>
        <w:t xml:space="preserve">              </w:t>
      </w:r>
      <w:r>
        <w:rPr>
          <w:rFonts w:hint="default" w:ascii="Times New Roman" w:hAnsi="Times New Roman" w:eastAsia="方正小标宋简体" w:cs="Times New Roman"/>
          <w:bCs/>
          <w:color w:val="auto"/>
          <w:sz w:val="24"/>
        </w:rPr>
        <w:t xml:space="preserve"> </w:t>
      </w:r>
    </w:p>
    <w:tbl>
      <w:tblPr>
        <w:tblStyle w:val="4"/>
        <w:tblW w:w="9720" w:type="dxa"/>
        <w:jc w:val="center"/>
        <w:tblInd w:w="0" w:type="dxa"/>
        <w:tblLayout w:type="fixed"/>
        <w:tblCellMar>
          <w:top w:w="0" w:type="dxa"/>
          <w:left w:w="108" w:type="dxa"/>
          <w:bottom w:w="0" w:type="dxa"/>
          <w:right w:w="108" w:type="dxa"/>
        </w:tblCellMar>
      </w:tblPr>
      <w:tblGrid>
        <w:gridCol w:w="5400"/>
        <w:gridCol w:w="1080"/>
        <w:gridCol w:w="1080"/>
        <w:gridCol w:w="1080"/>
        <w:gridCol w:w="1080"/>
      </w:tblGrid>
      <w:tr>
        <w:tblPrEx>
          <w:tblLayout w:type="fixed"/>
          <w:tblCellMar>
            <w:top w:w="0" w:type="dxa"/>
            <w:left w:w="108" w:type="dxa"/>
            <w:bottom w:w="0" w:type="dxa"/>
            <w:right w:w="108" w:type="dxa"/>
          </w:tblCellMar>
        </w:tblPrEx>
        <w:trPr>
          <w:trHeight w:val="555" w:hRule="atLeast"/>
          <w:jc w:val="center"/>
        </w:trPr>
        <w:tc>
          <w:tcPr>
            <w:tcW w:w="5400" w:type="dxa"/>
            <w:tcBorders>
              <w:top w:val="single" w:color="auto" w:sz="4" w:space="0"/>
              <w:left w:val="nil"/>
              <w:bottom w:val="single" w:color="auto" w:sz="4" w:space="0"/>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方正小标宋简体" w:cs="Times New Roman"/>
                <w:bCs/>
                <w:color w:val="auto"/>
                <w:sz w:val="24"/>
              </w:rPr>
            </w:pPr>
            <w:r>
              <w:rPr>
                <w:rFonts w:hint="default" w:ascii="Times New Roman" w:hAnsi="Times New Roman" w:eastAsia="方正小标宋简体" w:cs="Times New Roman"/>
                <w:bCs/>
                <w:color w:val="auto"/>
                <w:sz w:val="24"/>
              </w:rPr>
              <w:t>调查事项</w:t>
            </w:r>
          </w:p>
        </w:tc>
        <w:tc>
          <w:tcPr>
            <w:tcW w:w="1080" w:type="dxa"/>
            <w:tcBorders>
              <w:top w:val="single" w:color="auto" w:sz="4" w:space="0"/>
              <w:left w:val="nil"/>
              <w:bottom w:val="single" w:color="auto" w:sz="4" w:space="0"/>
              <w:right w:val="nil"/>
            </w:tcBorders>
            <w:noWrap w:val="0"/>
            <w:tcMar>
              <w:top w:w="15" w:type="dxa"/>
              <w:left w:w="15" w:type="dxa"/>
              <w:bottom w:w="15" w:type="dxa"/>
              <w:right w:w="15" w:type="dxa"/>
            </w:tcMar>
            <w:vAlign w:val="center"/>
          </w:tcPr>
          <w:p>
            <w:pPr>
              <w:spacing w:line="360" w:lineRule="auto"/>
              <w:rPr>
                <w:rFonts w:hint="default" w:ascii="Times New Roman" w:hAnsi="Times New Roman" w:eastAsia="方正小标宋简体" w:cs="Times New Roman"/>
                <w:bCs/>
                <w:color w:val="auto"/>
                <w:sz w:val="24"/>
              </w:rPr>
            </w:pPr>
          </w:p>
        </w:tc>
        <w:tc>
          <w:tcPr>
            <w:tcW w:w="1080" w:type="dxa"/>
            <w:tcBorders>
              <w:top w:val="single" w:color="auto" w:sz="4" w:space="0"/>
              <w:left w:val="nil"/>
              <w:bottom w:val="single" w:color="auto" w:sz="4" w:space="0"/>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方正小标宋简体" w:cs="Times New Roman"/>
                <w:bCs/>
                <w:color w:val="auto"/>
                <w:sz w:val="24"/>
              </w:rPr>
            </w:pPr>
            <w:r>
              <w:rPr>
                <w:rFonts w:hint="default" w:ascii="Times New Roman" w:hAnsi="Times New Roman" w:eastAsia="方正小标宋简体" w:cs="Times New Roman"/>
                <w:bCs/>
                <w:color w:val="auto"/>
                <w:sz w:val="24"/>
              </w:rPr>
              <w:t>非常满意</w:t>
            </w:r>
          </w:p>
        </w:tc>
        <w:tc>
          <w:tcPr>
            <w:tcW w:w="1080" w:type="dxa"/>
            <w:tcBorders>
              <w:top w:val="single" w:color="auto" w:sz="4" w:space="0"/>
              <w:left w:val="nil"/>
              <w:bottom w:val="single" w:color="auto" w:sz="4" w:space="0"/>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方正小标宋简体" w:cs="Times New Roman"/>
                <w:bCs/>
                <w:color w:val="auto"/>
                <w:sz w:val="24"/>
              </w:rPr>
            </w:pPr>
            <w:r>
              <w:rPr>
                <w:rFonts w:hint="default" w:ascii="Times New Roman" w:hAnsi="Times New Roman" w:eastAsia="方正小标宋简体" w:cs="Times New Roman"/>
                <w:bCs/>
                <w:color w:val="auto"/>
                <w:sz w:val="24"/>
              </w:rPr>
              <w:t>基本满意</w:t>
            </w:r>
          </w:p>
        </w:tc>
        <w:tc>
          <w:tcPr>
            <w:tcW w:w="1080" w:type="dxa"/>
            <w:tcBorders>
              <w:top w:val="single" w:color="auto" w:sz="4" w:space="0"/>
              <w:left w:val="nil"/>
              <w:bottom w:val="single" w:color="auto" w:sz="4" w:space="0"/>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方正小标宋简体" w:cs="Times New Roman"/>
                <w:bCs/>
                <w:color w:val="auto"/>
                <w:sz w:val="24"/>
              </w:rPr>
            </w:pPr>
            <w:r>
              <w:rPr>
                <w:rFonts w:hint="default" w:ascii="Times New Roman" w:hAnsi="Times New Roman" w:eastAsia="方正小标宋简体" w:cs="Times New Roman"/>
                <w:bCs/>
                <w:color w:val="auto"/>
                <w:sz w:val="24"/>
              </w:rPr>
              <w:t>不满意</w:t>
            </w:r>
          </w:p>
        </w:tc>
      </w:tr>
      <w:tr>
        <w:tblPrEx>
          <w:tblLayout w:type="fixed"/>
          <w:tblCellMar>
            <w:top w:w="0" w:type="dxa"/>
            <w:left w:w="108" w:type="dxa"/>
            <w:bottom w:w="0" w:type="dxa"/>
            <w:right w:w="108" w:type="dxa"/>
          </w:tblCellMar>
        </w:tblPrEx>
        <w:trPr>
          <w:trHeight w:val="540" w:hRule="atLeast"/>
          <w:jc w:val="center"/>
        </w:trPr>
        <w:tc>
          <w:tcPr>
            <w:tcW w:w="5400" w:type="dxa"/>
            <w:tcBorders>
              <w:top w:val="single" w:color="auto" w:sz="4" w:space="0"/>
              <w:left w:val="nil"/>
              <w:bottom w:val="nil"/>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1.对老年人居家医疗健康服务形式的满意度</w:t>
            </w:r>
          </w:p>
        </w:tc>
        <w:tc>
          <w:tcPr>
            <w:tcW w:w="1080" w:type="dxa"/>
            <w:tcBorders>
              <w:top w:val="single" w:color="auto" w:sz="4" w:space="0"/>
              <w:left w:val="nil"/>
              <w:bottom w:val="nil"/>
              <w:right w:val="nil"/>
            </w:tcBorders>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tcBorders>
              <w:top w:val="single" w:color="auto" w:sz="4" w:space="0"/>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single" w:color="auto" w:sz="4" w:space="0"/>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single" w:color="auto" w:sz="4" w:space="0"/>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r>
        <w:tblPrEx>
          <w:tblLayout w:type="fixed"/>
          <w:tblCellMar>
            <w:top w:w="0" w:type="dxa"/>
            <w:left w:w="108" w:type="dxa"/>
            <w:bottom w:w="0" w:type="dxa"/>
            <w:right w:w="108" w:type="dxa"/>
          </w:tblCellMar>
        </w:tblPrEx>
        <w:trPr>
          <w:trHeight w:val="540" w:hRule="atLeast"/>
          <w:jc w:val="center"/>
        </w:trPr>
        <w:tc>
          <w:tcPr>
            <w:tcW w:w="5400" w:type="dxa"/>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2.对居家医疗健康服务项目和内容的满意度</w:t>
            </w:r>
          </w:p>
        </w:tc>
        <w:tc>
          <w:tcPr>
            <w:tcW w:w="1080" w:type="dxa"/>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r>
        <w:tblPrEx>
          <w:tblLayout w:type="fixed"/>
          <w:tblCellMar>
            <w:top w:w="0" w:type="dxa"/>
            <w:left w:w="108" w:type="dxa"/>
            <w:bottom w:w="0" w:type="dxa"/>
            <w:right w:w="108" w:type="dxa"/>
          </w:tblCellMar>
        </w:tblPrEx>
        <w:trPr>
          <w:trHeight w:val="540" w:hRule="atLeast"/>
          <w:jc w:val="center"/>
        </w:trPr>
        <w:tc>
          <w:tcPr>
            <w:tcW w:w="5400" w:type="dxa"/>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3.对工作人员服务态度的满意度</w:t>
            </w:r>
          </w:p>
        </w:tc>
        <w:tc>
          <w:tcPr>
            <w:tcW w:w="1080" w:type="dxa"/>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r>
        <w:tblPrEx>
          <w:tblLayout w:type="fixed"/>
          <w:tblCellMar>
            <w:top w:w="0" w:type="dxa"/>
            <w:left w:w="108" w:type="dxa"/>
            <w:bottom w:w="0" w:type="dxa"/>
            <w:right w:w="108" w:type="dxa"/>
          </w:tblCellMar>
        </w:tblPrEx>
        <w:trPr>
          <w:trHeight w:val="540" w:hRule="atLeast"/>
          <w:jc w:val="center"/>
        </w:trPr>
        <w:tc>
          <w:tcPr>
            <w:tcW w:w="5400" w:type="dxa"/>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4.对工作人员工作及时性和主动性的满意度</w:t>
            </w:r>
          </w:p>
        </w:tc>
        <w:tc>
          <w:tcPr>
            <w:tcW w:w="1080" w:type="dxa"/>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r>
        <w:tblPrEx>
          <w:tblLayout w:type="fixed"/>
          <w:tblCellMar>
            <w:top w:w="0" w:type="dxa"/>
            <w:left w:w="108" w:type="dxa"/>
            <w:bottom w:w="0" w:type="dxa"/>
            <w:right w:w="108" w:type="dxa"/>
          </w:tblCellMar>
        </w:tblPrEx>
        <w:trPr>
          <w:trHeight w:val="540" w:hRule="atLeast"/>
          <w:jc w:val="center"/>
        </w:trPr>
        <w:tc>
          <w:tcPr>
            <w:tcW w:w="540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5.对工作人员业务能力的满意度</w:t>
            </w:r>
          </w:p>
        </w:tc>
        <w:tc>
          <w:tcPr>
            <w:tcW w:w="1080" w:type="dxa"/>
            <w:tcBorders>
              <w:top w:val="nil"/>
              <w:left w:val="nil"/>
              <w:bottom w:val="nil"/>
              <w:right w:val="nil"/>
            </w:tcBorders>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r>
        <w:tblPrEx>
          <w:tblLayout w:type="fixed"/>
          <w:tblCellMar>
            <w:top w:w="0" w:type="dxa"/>
            <w:left w:w="108" w:type="dxa"/>
            <w:bottom w:w="0" w:type="dxa"/>
            <w:right w:w="108" w:type="dxa"/>
          </w:tblCellMar>
        </w:tblPrEx>
        <w:trPr>
          <w:trHeight w:val="540" w:hRule="atLeast"/>
          <w:jc w:val="center"/>
        </w:trPr>
        <w:tc>
          <w:tcPr>
            <w:tcW w:w="540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6.对工作人员品德表现的满意度</w:t>
            </w:r>
          </w:p>
        </w:tc>
        <w:tc>
          <w:tcPr>
            <w:tcW w:w="1080" w:type="dxa"/>
            <w:tcBorders>
              <w:top w:val="nil"/>
              <w:left w:val="nil"/>
              <w:bottom w:val="nil"/>
              <w:right w:val="nil"/>
            </w:tcBorders>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nil"/>
              <w:left w:val="nil"/>
              <w:bottom w:val="nil"/>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r>
        <w:tblPrEx>
          <w:tblLayout w:type="fixed"/>
          <w:tblCellMar>
            <w:top w:w="0" w:type="dxa"/>
            <w:left w:w="108" w:type="dxa"/>
            <w:bottom w:w="0" w:type="dxa"/>
            <w:right w:w="108" w:type="dxa"/>
          </w:tblCellMar>
        </w:tblPrEx>
        <w:trPr>
          <w:trHeight w:val="540" w:hRule="atLeast"/>
          <w:jc w:val="center"/>
        </w:trPr>
        <w:tc>
          <w:tcPr>
            <w:tcW w:w="5400" w:type="dxa"/>
            <w:tcBorders>
              <w:top w:val="nil"/>
              <w:left w:val="nil"/>
              <w:bottom w:val="single" w:color="000000" w:sz="4" w:space="0"/>
              <w:right w:val="nil"/>
            </w:tcBorders>
            <w:noWrap w:val="0"/>
            <w:tcMar>
              <w:top w:w="15" w:type="dxa"/>
              <w:left w:w="15" w:type="dxa"/>
              <w:bottom w:w="15" w:type="dxa"/>
              <w:right w:w="15" w:type="dxa"/>
            </w:tcMar>
            <w:vAlign w:val="center"/>
          </w:tcPr>
          <w:p>
            <w:pPr>
              <w:widowControl/>
              <w:spacing w:line="360" w:lineRule="auto"/>
              <w:jc w:val="left"/>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7.对工作人员语言和行为的满意度</w:t>
            </w:r>
          </w:p>
        </w:tc>
        <w:tc>
          <w:tcPr>
            <w:tcW w:w="1080" w:type="dxa"/>
            <w:tcBorders>
              <w:top w:val="nil"/>
              <w:left w:val="nil"/>
              <w:bottom w:val="single" w:color="000000" w:sz="4" w:space="0"/>
              <w:right w:val="nil"/>
            </w:tcBorders>
            <w:noWrap w:val="0"/>
            <w:tcMar>
              <w:top w:w="15" w:type="dxa"/>
              <w:left w:w="15" w:type="dxa"/>
              <w:bottom w:w="15" w:type="dxa"/>
              <w:right w:w="15" w:type="dxa"/>
            </w:tcMar>
            <w:vAlign w:val="center"/>
          </w:tcPr>
          <w:p>
            <w:pPr>
              <w:spacing w:line="360" w:lineRule="auto"/>
              <w:rPr>
                <w:rFonts w:hint="default" w:ascii="Times New Roman" w:hAnsi="Times New Roman" w:eastAsia="仿宋_GB2312" w:cs="Times New Roman"/>
                <w:bCs/>
                <w:color w:val="auto"/>
                <w:sz w:val="24"/>
              </w:rPr>
            </w:pPr>
          </w:p>
        </w:tc>
        <w:tc>
          <w:tcPr>
            <w:tcW w:w="1080" w:type="dxa"/>
            <w:tcBorders>
              <w:top w:val="nil"/>
              <w:left w:val="nil"/>
              <w:bottom w:val="single" w:color="000000" w:sz="4" w:space="0"/>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nil"/>
              <w:left w:val="nil"/>
              <w:bottom w:val="single" w:color="000000" w:sz="4" w:space="0"/>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c>
          <w:tcPr>
            <w:tcW w:w="1080" w:type="dxa"/>
            <w:tcBorders>
              <w:top w:val="nil"/>
              <w:left w:val="nil"/>
              <w:bottom w:val="single" w:color="000000" w:sz="4" w:space="0"/>
              <w:right w:val="nil"/>
            </w:tcBorders>
            <w:noWrap w:val="0"/>
            <w:tcMar>
              <w:top w:w="15" w:type="dxa"/>
              <w:left w:w="15" w:type="dxa"/>
              <w:bottom w:w="15" w:type="dxa"/>
              <w:right w:w="15" w:type="dxa"/>
            </w:tcMar>
            <w:vAlign w:val="center"/>
          </w:tcPr>
          <w:p>
            <w:pPr>
              <w:widowControl/>
              <w:spacing w:line="360" w:lineRule="auto"/>
              <w:jc w:val="center"/>
              <w:textAlignment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w:t>
            </w:r>
          </w:p>
        </w:tc>
      </w:tr>
    </w:tbl>
    <w:p>
      <w:pPr>
        <w:spacing w:line="360" w:lineRule="auto"/>
        <w:rPr>
          <w:rFonts w:hint="default" w:ascii="Times New Roman" w:hAnsi="Times New Roman" w:eastAsia="仿宋_GB2312" w:cs="Times New Roman"/>
          <w:bCs/>
          <w:color w:val="auto"/>
          <w:sz w:val="24"/>
        </w:rPr>
      </w:pPr>
    </w:p>
    <w:p>
      <w:pPr>
        <w:spacing w:line="360" w:lineRule="auto"/>
        <w:rPr>
          <w:rFonts w:hint="default" w:ascii="Times New Roman" w:hAnsi="Times New Roman" w:eastAsia="宋体" w:cs="Times New Roman"/>
          <w:bCs/>
          <w:color w:val="auto"/>
          <w:sz w:val="24"/>
          <w:u w:val="single"/>
        </w:rPr>
      </w:pPr>
      <w:r>
        <w:rPr>
          <w:rFonts w:hint="default" w:ascii="Times New Roman" w:hAnsi="Times New Roman" w:eastAsia="仿宋_GB2312" w:cs="Times New Roman"/>
          <w:bCs/>
          <w:color w:val="auto"/>
          <w:sz w:val="24"/>
        </w:rPr>
        <w:t>其他（请简要说明）：</w:t>
      </w:r>
      <w:r>
        <w:rPr>
          <w:rFonts w:hint="default" w:ascii="Times New Roman" w:hAnsi="Times New Roman" w:eastAsia="仿宋_GB2312" w:cs="Times New Roman"/>
          <w:bCs/>
          <w:color w:val="auto"/>
          <w:sz w:val="24"/>
          <w:u w:val="single"/>
        </w:rPr>
        <w:t xml:space="preserve">   </w:t>
      </w:r>
      <w:r>
        <w:rPr>
          <w:rFonts w:hint="default" w:ascii="Times New Roman" w:hAnsi="Times New Roman" w:eastAsia="宋体" w:cs="Times New Roman"/>
          <w:bCs/>
          <w:color w:val="auto"/>
          <w:sz w:val="24"/>
          <w:u w:val="single"/>
        </w:rPr>
        <w:t xml:space="preserve">                                                                                  </w:t>
      </w:r>
    </w:p>
    <w:p>
      <w:pPr>
        <w:wordWrap w:val="0"/>
        <w:spacing w:line="360" w:lineRule="auto"/>
        <w:jc w:val="right"/>
        <w:rPr>
          <w:rFonts w:hint="default" w:ascii="Times New Roman" w:hAnsi="Times New Roman" w:eastAsia="宋体" w:cs="Times New Roman"/>
          <w:bCs/>
          <w:color w:val="auto"/>
          <w:sz w:val="24"/>
          <w:u w:val="single"/>
        </w:rPr>
      </w:pPr>
      <w:r>
        <w:rPr>
          <w:rFonts w:hint="default" w:ascii="Times New Roman" w:hAnsi="Times New Roman" w:eastAsia="宋体" w:cs="Times New Roman"/>
          <w:bCs/>
          <w:color w:val="auto"/>
          <w:sz w:val="24"/>
          <w:u w:val="single"/>
        </w:rPr>
        <w:t xml:space="preserve">                                                                    </w:t>
      </w:r>
      <w:r>
        <w:rPr>
          <w:rFonts w:hint="default" w:ascii="Times New Roman" w:hAnsi="Times New Roman" w:eastAsia="宋体" w:cs="Times New Roman"/>
          <w:bCs/>
          <w:color w:val="auto"/>
          <w:sz w:val="24"/>
        </w:rPr>
        <w:t xml:space="preserve">                                                              </w:t>
      </w:r>
    </w:p>
    <w:p>
      <w:pPr>
        <w:spacing w:line="360" w:lineRule="auto"/>
        <w:ind w:right="300"/>
        <w:jc w:val="center"/>
        <w:rPr>
          <w:rFonts w:hint="default" w:ascii="Times New Roman" w:hAnsi="Times New Roman" w:eastAsia="仿宋_GB2312" w:cs="Times New Roman"/>
          <w:bCs/>
          <w:color w:val="auto"/>
          <w:sz w:val="24"/>
        </w:rPr>
      </w:pPr>
      <w:r>
        <w:rPr>
          <w:rFonts w:hint="default" w:ascii="Times New Roman" w:hAnsi="Times New Roman" w:eastAsia="宋体" w:cs="Times New Roman"/>
          <w:bCs/>
          <w:color w:val="auto"/>
          <w:sz w:val="24"/>
        </w:rPr>
        <w:t xml:space="preserve">                   </w:t>
      </w:r>
      <w:r>
        <w:rPr>
          <w:rFonts w:hint="default" w:ascii="Times New Roman" w:hAnsi="Times New Roman" w:eastAsia="仿宋_GB2312" w:cs="Times New Roman"/>
          <w:bCs/>
          <w:color w:val="auto"/>
          <w:sz w:val="24"/>
        </w:rPr>
        <w:t xml:space="preserve">  服务对象□ 法定代理人□ 签名：   </w:t>
      </w:r>
    </w:p>
    <w:p>
      <w:pPr>
        <w:wordWrap w:val="0"/>
        <w:spacing w:line="360" w:lineRule="auto"/>
        <w:jc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 xml:space="preserve">                                    评估家属签名：   </w:t>
      </w:r>
    </w:p>
    <w:p>
      <w:pPr>
        <w:wordWrap w:val="0"/>
        <w:spacing w:line="360" w:lineRule="auto"/>
        <w:jc w:val="center"/>
        <w:rPr>
          <w:rFonts w:hint="default" w:ascii="Times New Roman" w:hAnsi="Times New Roman" w:eastAsia="仿宋_GB2312" w:cs="Times New Roman"/>
          <w:bCs/>
          <w:color w:val="auto"/>
          <w:sz w:val="24"/>
        </w:rPr>
      </w:pPr>
      <w:r>
        <w:rPr>
          <w:rFonts w:hint="default" w:ascii="Times New Roman" w:hAnsi="Times New Roman" w:eastAsia="仿宋_GB2312" w:cs="Times New Roman"/>
          <w:bCs/>
          <w:color w:val="auto"/>
          <w:sz w:val="24"/>
        </w:rPr>
        <w:t xml:space="preserve">                         关系：</w:t>
      </w:r>
    </w:p>
    <w:p>
      <w:pPr>
        <w:wordWrap w:val="0"/>
        <w:spacing w:line="360" w:lineRule="auto"/>
        <w:jc w:val="center"/>
        <w:rPr>
          <w:rFonts w:hint="default" w:ascii="Times New Roman" w:hAnsi="Times New Roman" w:eastAsia="仿宋_GB2312" w:cs="Times New Roman"/>
          <w:bCs/>
          <w:color w:val="auto"/>
          <w:sz w:val="24"/>
        </w:rPr>
        <w:sectPr>
          <w:pgSz w:w="11906" w:h="16838"/>
          <w:pgMar w:top="2041" w:right="1531" w:bottom="2041" w:left="1531" w:header="851" w:footer="1332" w:gutter="0"/>
          <w:pgNumType w:fmt="numberInDash"/>
          <w:cols w:space="720" w:num="1"/>
          <w:rtlGutter w:val="0"/>
          <w:docGrid w:type="lines" w:linePitch="327" w:charSpace="0"/>
        </w:sectPr>
      </w:pPr>
      <w:r>
        <w:rPr>
          <w:rFonts w:hint="default" w:ascii="Times New Roman" w:hAnsi="Times New Roman" w:eastAsia="仿宋_GB2312" w:cs="Times New Roman"/>
          <w:bCs/>
          <w:color w:val="auto"/>
          <w:sz w:val="24"/>
        </w:rPr>
        <w:t xml:space="preserve">                             日期：  </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r>
        <w:rPr>
          <w:rFonts w:hint="default" w:ascii="Times New Roman" w:hAnsi="Times New Roman" w:eastAsia="黑体" w:cs="Times New Roman"/>
          <w:bCs/>
          <w:color w:val="auto"/>
          <w:sz w:val="32"/>
          <w:szCs w:val="32"/>
        </w:rPr>
        <w:t>附件14</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color w:val="auto"/>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default" w:ascii="Times New Roman" w:hAnsi="Times New Roman" w:eastAsia="方正小标宋简体" w:cs="Times New Roman"/>
          <w:bCs/>
          <w:color w:val="auto"/>
          <w:sz w:val="44"/>
          <w:szCs w:val="44"/>
        </w:rPr>
      </w:pPr>
      <w:r>
        <w:rPr>
          <w:rFonts w:hint="default" w:ascii="Times New Roman" w:hAnsi="Times New Roman" w:eastAsia="方正小标宋简体" w:cs="Times New Roman"/>
          <w:bCs/>
          <w:color w:val="auto"/>
          <w:sz w:val="44"/>
          <w:szCs w:val="44"/>
        </w:rPr>
        <w:t>附加说明</w:t>
      </w:r>
    </w:p>
    <w:p>
      <w:pPr>
        <w:keepNext w:val="0"/>
        <w:keepLines w:val="0"/>
        <w:pageBreakBefore w:val="0"/>
        <w:widowControl w:val="0"/>
        <w:kinsoku/>
        <w:wordWrap/>
        <w:overflowPunct/>
        <w:topLinePunct w:val="0"/>
        <w:autoSpaceDE/>
        <w:autoSpaceDN/>
        <w:bidi w:val="0"/>
        <w:adjustRightInd/>
        <w:snapToGrid/>
        <w:spacing w:line="560" w:lineRule="exact"/>
        <w:ind w:firstLine="636" w:firstLineChars="199"/>
        <w:jc w:val="left"/>
        <w:textAlignment w:val="auto"/>
        <w:rPr>
          <w:rFonts w:hint="default" w:ascii="Times New Roman" w:hAnsi="Times New Roman" w:eastAsia="仿宋_GB2312" w:cs="Times New Roman"/>
          <w:bCs/>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1</w:t>
      </w:r>
      <w:r>
        <w:rPr>
          <w:rFonts w:hint="eastAsia" w:ascii="仿宋_GB2312" w:hAnsi="仿宋_GB2312" w:eastAsia="仿宋_GB2312" w:cs="仿宋_GB2312"/>
          <w:bCs/>
          <w:color w:val="auto"/>
          <w:sz w:val="32"/>
          <w:szCs w:val="32"/>
          <w:lang w:val="en-US" w:eastAsia="zh-CN"/>
        </w:rPr>
        <w:t>.</w:t>
      </w:r>
      <w:r>
        <w:rPr>
          <w:rFonts w:hint="default" w:ascii="Times New Roman" w:hAnsi="Times New Roman" w:eastAsia="仿宋_GB2312" w:cs="Times New Roman"/>
          <w:bCs/>
          <w:color w:val="auto"/>
          <w:sz w:val="32"/>
          <w:szCs w:val="32"/>
        </w:rPr>
        <w:t>医疗机构应当使用培训合格的以老年患者为服务对象的医疗护理员从事相关工作，合法、规范用工。严禁医疗护理员从事医疗护理专业技术性工作，切实保障医疗质量和安全。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Cs/>
          <w:color w:val="auto"/>
          <w:sz w:val="32"/>
          <w:szCs w:val="32"/>
        </w:rPr>
      </w:pPr>
      <w:r>
        <w:rPr>
          <w:rFonts w:hint="default" w:ascii="Times New Roman" w:hAnsi="Times New Roman" w:eastAsia="仿宋_GB2312" w:cs="Times New Roman"/>
          <w:bCs/>
          <w:color w:val="auto"/>
          <w:sz w:val="32"/>
          <w:szCs w:val="32"/>
          <w:lang w:val="en-US" w:eastAsia="zh-CN"/>
        </w:rPr>
        <w:t>2</w:t>
      </w:r>
      <w:r>
        <w:rPr>
          <w:rFonts w:hint="default" w:ascii="仿宋_GB2312" w:hAnsi="仿宋_GB2312" w:eastAsia="仿宋_GB2312" w:cs="仿宋_GB2312"/>
          <w:bCs/>
          <w:color w:val="auto"/>
          <w:sz w:val="32"/>
          <w:szCs w:val="32"/>
          <w:lang w:val="en-US" w:eastAsia="zh-CN"/>
        </w:rPr>
        <w:t>.</w:t>
      </w:r>
      <w:r>
        <w:rPr>
          <w:rFonts w:hint="default" w:ascii="Times New Roman" w:hAnsi="Times New Roman" w:eastAsia="仿宋_GB2312" w:cs="Times New Roman"/>
          <w:bCs/>
          <w:color w:val="auto"/>
          <w:sz w:val="32"/>
          <w:szCs w:val="32"/>
        </w:rPr>
        <w:t>附表9、10填表说明：①体温、脉搏、心率、呼吸、血压、血糖填写具体数值，未测量无需填写；②完成项目用“√”表示，未完成无需填写；③正确服药标准：患者能正确服药，无漏服、错服现象；④药品检查标准：患者所用药物无过期、潮湿、变质。</w:t>
      </w:r>
    </w:p>
    <w:p>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Courier">
    <w:altName w:val="Courier New"/>
    <w:panose1 w:val="00000000000000000000"/>
    <w:charset w:val="00"/>
    <w:family w:val="auto"/>
    <w:pitch w:val="default"/>
    <w:sig w:usb0="00000000" w:usb1="00000000" w:usb2="00000000" w:usb3="00000000" w:csb0="00000003" w:csb1="00000000"/>
  </w:font>
  <w:font w:name="楷体_GB2312">
    <w:panose1 w:val="02010609030101010101"/>
    <w:charset w:val="86"/>
    <w:family w:val="auto"/>
    <w:pitch w:val="default"/>
    <w:sig w:usb0="00000001" w:usb1="080E0000" w:usb2="00000000" w:usb3="00000000" w:csb0="00040000" w:csb1="00000000"/>
  </w:font>
  <w:font w:name="FZSSJW--GB1-0">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6"/>
        <w:tab w:val="clear" w:pos="4153"/>
      </w:tabs>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abs>
        <w:tab w:val="center" w:pos="4366"/>
        <w:tab w:val="clear" w:pos="4153"/>
      </w:tabs>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- 2 -</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17274D"/>
    <w:rsid w:val="45CA5A85"/>
    <w:rsid w:val="56172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1</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2020-06-28T01:20:00Z</dcterms:created>
  <dc:creator>eva</dc:creator>
  <cp:lastModifiedBy>eva</cp:lastModifiedBy>
  <dcterms:modified xsi:type="dcterms:W3CDTF">2020-06-28T01:22:17Z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