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72"/>
        <w:gridCol w:w="1472"/>
        <w:gridCol w:w="703"/>
        <w:gridCol w:w="42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40"/>
                <w:szCs w:val="40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二级公立医院绩效考核指标（综合、专科医院）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指标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指标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三级指标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性质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指标说明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一、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医疗质量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（一）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功能定位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出院患者手术占比▲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计算方法：出院患者手术人数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同期出院患者人数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出院患者微创手术占比▲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计算方法：出院患者微创手术人数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同期出院患者手术人数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出院患者三级手术占比▲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计算方法：出院患者三级手术人数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同期出院患者手术人数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（二）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质量安全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4.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手术患者并发症发生率▲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计算方法：手术患者并发症发生人数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同期出院患者手术人数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5.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低风险组病例死亡率▲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计算方法：低风险组死亡例数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低风险组病例数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（三）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合理用药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抗菌药物使用强度（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DDDs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计算方法：住院患者抗菌药物消耗量（累计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DDD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数）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同期收治患者人天数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。收治患者人天数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=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出院患者人数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出院患者平均住院天数。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7.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基本药物采购金额占比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计算方法：医院采购基本药物金额数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医院同期采购药物金额总数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指标来源：省级药品集中采购平台。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一、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医疗质量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（三）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合理用药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8.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国家组织药品集中采购中标药品金额占比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计算方法：中标药品采购金额数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同期采购同种药品金额总数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重点监控药品收入占比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计算方法：重点监控药品收入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同期药品总收入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10.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重点监控高值医用耗材收入占比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计算方法：重点监控高值医用耗材收入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同期耗材总收入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（四）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医疗服务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电子病历应用功能水平分级▲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计算方法：按照国家卫生健康委电子病历应用功能水平分级标准评估。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指标来源：国家卫生健康委。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省级空间质量评价临床检验项目参加率与合格率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计算方法：医院临床检验项目中参加和通过省级（本省份）临床检验中心组织的空间质量评价情况。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指标来源：省级卫生健康委。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平均住院日▲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计算方法：出院患者占用总床日数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同期出院患者人数。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运营效率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收支结构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14.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医疗盈亏率▲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计算方法：医疗盈亏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同期医疗活动收入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15.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资产负债率▲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计算方法：负债合计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同期资产合计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运营效率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（五）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收支结构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16.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人员经费占比▲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计算方法：人员经费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同期医疗活动费用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17.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万元收入能耗占比▲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计算方法：总能耗</w:t>
            </w: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同期总收入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t>10000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18.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医疗收入中来自医保基金的比例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）门诊收入中来自医保基金的比例：门诊收入中来自医保基金的收入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门诊收入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）住院收入中来自医保基金的比例：住院收入中来自医保基金的收入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住院收入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19.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医疗服务收入（不含药品、耗材、检查检验收入）占医疗收入比例▲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计算方法：医疗服务收入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同期医疗收入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（六）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费用控制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20.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医疗收入增幅▲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）门诊收入增幅：（本年度门诊收入一上一年度门诊收入）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上一年度门诊收入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）住院收入增幅：（本年度住院收入一上一年度住院收入）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上一年度住院收入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运营效率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（六）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费用控制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21.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次均费用增幅▲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）门诊次均费用增幅：（本年度门诊患者次均医药费用一上一年度门诊患者次均医药费用）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上一年度门诊患者次均医药费用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。门诊患者次均医药费用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=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门诊收入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门诊人次数。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）住院次均费用增幅：（本年度出院患者次均医药费用一上一年度出院患者次均医药费用）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上一年度出院患者次均医药费用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。出院患者次均医药费用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=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出院患者住院费用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出院人次数。由于整体出院患者平均医药费用受多种因素影响，为使数据尽量可比，通过疾病严重程度（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CMI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）调整。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  <w:jc w:val="center"/>
        </w:trPr>
        <w:tc>
          <w:tcPr>
            <w:tcW w:w="9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22.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次均药品费用增幅▲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）门诊次均药品费用增幅：（本年度门诊患者次均药品费用一上一年度门诊患者次均药品费用）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上一年度门诊患者次均药品费用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。门诊患者次均药品费用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=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门诊药品收入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门诊人次数。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2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）护院次均药品费用增幅：（本年度出院患者次均药品费用一上一年度出院患者次均药品费用）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上一年度出院患者次均药品费用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。出院患者次均药品费用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=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出院患者药品费用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出院人次数。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指标来源：财务年报表。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三、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持续发展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（七）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人员结构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23.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医护比▲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计算方法：医院注册执业（助理）医师总数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全院同期注册护士总数。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指标来源：国家医疗机构、医师、护士电子化注册系统。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24.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麻醉、儿科、重症、病例、中医医师占比▲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计算方法：医院注册的麻醉、儿科、重症、病理、中医在岗医师数/全院同期医师总数◊100%；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指标来源：国家医疗机构、医师、护士电子化注册系统。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三、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持续发展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（八）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学科建设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人才培养经费投入占比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计算方法：人才培养经费投入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医院当年总经费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◊</w:t>
            </w:r>
            <w:r>
              <w:rPr>
                <w:rStyle w:val="7"/>
                <w:rFonts w:hint="default" w:ascii="Times New Roman" w:hAnsi="Times New Roman" w:eastAsia="等线" w:cs="Times New Roman"/>
                <w:lang w:bidi="ar"/>
              </w:rPr>
              <w:t>100%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专科能力▲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计算方法：专科病种医疗服务相关指标评价。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指标来源：病案首页。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四、</w:t>
            </w:r>
            <w:r>
              <w:rPr>
                <w:rStyle w:val="7"/>
                <w:rFonts w:hint="default" w:ascii="Times New Roman" w:hAnsi="Times New Roman" w:eastAsia="仿宋_GB2312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满意度评价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（九）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患者满意度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患者满意度▲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计算方法：门诊、住院患者满意度调查得分。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指标来源：国家公立医院满意度调查平台。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（十）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医务人员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满意度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医务人员满意度▲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定量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计算方法：医务人员满意度调查得分。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指标来源：国家公立医院满意度调查平台。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五、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政府指令性任务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（十一）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社会责任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.应急救援和医疗保障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认真落实抢险救灾、应急救援等突发事件处置和重大活动医疗保障等任务。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指标来源：省、市、县（区）卫生健康行政部门，医院填报。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.重大违法违纪行为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计算方法：本年度内发生以下情况的医疗机构给予绩效考核降级处理：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1.发生负主要责任的重大医疗事故、重大安全生产事故等造成严重社会影响；2.发生严重违法、违纪案件；3.发生重大行风案件，造成严重不良社会影响的。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数据来源：医院填报，各地市卫生健康行政部门审核。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六、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健康教育和健康促进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（十二）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健康宣教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.健康教育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定性</w:t>
            </w:r>
          </w:p>
        </w:tc>
        <w:tc>
          <w:tcPr>
            <w:tcW w:w="4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引导医院及其医务人员做好健康教育工作，医院落实健康教育所需的人、财、物等资源，持续提升医务人员开展健康教育的综合能力，切实指导患者及其家属、社区居民等学习掌握预防疾病和促进健康的知识和技能，促进健康素养水平和健康水平稳步提升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数据来源：医院填报，各地市卫生健康行政部门审核。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</w:p>
        </w:tc>
        <w:tc>
          <w:tcPr>
            <w:tcW w:w="741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注</w:t>
            </w:r>
            <w:r>
              <w:rPr>
                <w:rStyle w:val="10"/>
                <w:rFonts w:hint="default" w:ascii="Times New Roman" w:hAnsi="Times New Roman" w:eastAsia="等线" w:cs="Times New Roman"/>
                <w:lang w:bidi="ar"/>
              </w:rPr>
              <w:t>: 1.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标记“▲”的为国家监测指标。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等线" w:cs="Times New Roman"/>
                <w:lang w:bidi="ar"/>
              </w:rPr>
              <w:t xml:space="preserve">   2.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二级公立医院绩效考核指标体系共3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 w:bidi="ar"/>
              </w:rPr>
              <w:t>1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个指标，其中国家监测指标</w:t>
            </w:r>
            <w:r>
              <w:rPr>
                <w:rStyle w:val="10"/>
                <w:rFonts w:hint="default" w:ascii="Times New Roman" w:hAnsi="Times New Roman" w:eastAsia="等线" w:cs="Times New Roman"/>
                <w:lang w:bidi="ar"/>
              </w:rPr>
              <w:t>21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个。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等线" w:cs="Times New Roman"/>
                <w:lang w:bidi="ar"/>
              </w:rPr>
              <w:t xml:space="preserve">   3.</w:t>
            </w:r>
            <w:r>
              <w:rPr>
                <w:rStyle w:val="9"/>
                <w:rFonts w:hint="default" w:ascii="Times New Roman" w:hAnsi="Times New Roman" w:cs="Times New Roman"/>
                <w:lang w:bidi="ar"/>
              </w:rPr>
              <w:t>国家卫生健康委制定绩效考核国家监测的微创手术目录、三级手术目录、重点监控药品目录和重点监控高值医用耗材目录。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D4264"/>
    <w:rsid w:val="35FD426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5">
    <w:name w:val="font91"/>
    <w:basedOn w:val="3"/>
    <w:qFormat/>
    <w:uiPriority w:val="0"/>
    <w:rPr>
      <w:rFonts w:ascii="仿宋_GB2312" w:hAnsi="Calibri" w:eastAsia="仿宋_GB2312" w:cs="仿宋_GB2312"/>
      <w:b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hAnsi="Calibri" w:eastAsia="仿宋_GB2312" w:cs="仿宋_GB2312"/>
      <w:color w:val="000000"/>
      <w:sz w:val="24"/>
      <w:szCs w:val="24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3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2020-07-31T01:05:00Z</dcterms:created>
  <dc:creator>eva</dc:creator>
  <cp:lastModifiedBy>eva</cp:lastModifiedBy>
  <dcterms:modified xsi:type="dcterms:W3CDTF">2020-07-31T01:05:58Z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