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textAlignment w:val="auto"/>
        <w:rPr>
          <w:rFonts w:hint="default" w:ascii="Times New Roman" w:hAnsi="Times New Roman" w:eastAsia="黑体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黑体" w:cs="Times New Roman"/>
          <w:sz w:val="32"/>
          <w:szCs w:val="32"/>
        </w:rPr>
        <w:t>附件1</w:t>
      </w:r>
    </w:p>
    <w:tbl>
      <w:tblPr>
        <w:tblStyle w:val="2"/>
        <w:tblW w:w="8336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920"/>
        <w:gridCol w:w="972"/>
        <w:gridCol w:w="1472"/>
        <w:gridCol w:w="703"/>
        <w:gridCol w:w="4269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40" w:hRule="atLeast"/>
          <w:jc w:val="center"/>
        </w:trPr>
        <w:tc>
          <w:tcPr>
            <w:tcW w:w="8336" w:type="dxa"/>
            <w:gridSpan w:val="5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64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40"/>
                <w:szCs w:val="40"/>
              </w:rPr>
            </w:pPr>
            <w:r>
              <w:rPr>
                <w:rStyle w:val="4"/>
                <w:rFonts w:hint="default" w:ascii="Times New Roman" w:hAnsi="Times New Roman" w:cs="Times New Roman"/>
                <w:lang w:bidi="ar"/>
              </w:rPr>
              <w:t>二级公立医院绩效考核指标（综合、专科医院）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83" w:hRule="atLeast"/>
          <w:jc w:val="center"/>
        </w:trPr>
        <w:tc>
          <w:tcPr>
            <w:tcW w:w="920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  <w:t>一级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  <w:t>指标</w:t>
            </w: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  <w:t>二级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  <w:t>指标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  <w:t>三级指标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  <w:t>性质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0" w:lineRule="atLeast"/>
              <w:jc w:val="center"/>
              <w:textAlignment w:val="center"/>
              <w:rPr>
                <w:rFonts w:hint="default" w:ascii="Times New Roman" w:hAnsi="Times New Roman" w:eastAsia="黑体" w:cs="Times New Roman"/>
                <w:b w:val="0"/>
                <w:bCs/>
                <w:color w:val="000000"/>
                <w:sz w:val="24"/>
                <w:szCs w:val="24"/>
              </w:rPr>
            </w:pPr>
            <w:r>
              <w:rPr>
                <w:rStyle w:val="5"/>
                <w:rFonts w:hint="default" w:ascii="Times New Roman" w:hAnsi="Times New Roman" w:eastAsia="黑体" w:cs="Times New Roman"/>
                <w:b w:val="0"/>
                <w:bCs/>
                <w:lang w:bidi="ar"/>
              </w:rPr>
              <w:t>指标说明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一、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医疗质量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（一）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功能定位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出院患者手术占比▲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计算方法：出院患者手术人数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同期出院患者人数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指标来源：病案首页。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2.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出院患者微创手术占比▲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计算方法：出院患者微创手术人数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同期出院患者手术人数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指标来源：病案首页。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3.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出院患者三级手术占比▲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计算方法：出院患者三级手术人数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同期出院患者手术人数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指标来源：病案首页。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（二）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质量安全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4.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手术患者并发症发生率▲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计算方法：手术患者并发症发生人数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同期出院患者手术人数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指标来源：病案首页。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5.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低风险组病例死亡率▲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计算方法：低风险组死亡例数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低风险组病例数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指标来源：病案首页。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23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（三）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合理用药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6.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抗菌药物使用强度（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DDDs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计算方法：住院患者抗菌药物消耗量（累计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DDD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数）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同期收治患者人天数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。收治患者人天数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=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出院患者人数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出院患者平均住院天数。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指标来源：医院填报。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7.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基本药物采购金额占比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计算方法：医院采购基本药物金额数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医院同期采购药物金额总数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指标来源：省级药品集中采购平台。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98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一、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医疗质量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（三）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合理用药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8.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国家组织药品集中采购中标药品金额占比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计算方法：中标药品采购金额数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同期采购同种药品金额总数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指标来源：医院填报。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9.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重点监控药品收入占比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计算方法：重点监控药品收入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同期药品总收入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指标来源：医院填报。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10.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重点监控高值医用耗材收入占比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计算方法：重点监控高值医用耗材收入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同期耗材总收入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指标来源：医院填报。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053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（四）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医疗服务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11.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电子病历应用功能水平分级▲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计算方法：按照国家卫生健康委电子病历应用功能水平分级标准评估。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指标来源：国家卫生健康委。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12.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省级空间质量评价临床检验项目参加率与合格率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计算方法：医院临床检验项目中参加和通过省级（本省份）临床检验中心组织的空间质量评价情况。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指标来源：省级卫生健康委。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885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13.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平均住院日▲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计算方法：出院患者占用总床日数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同期出院患者人数。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指标来源：病案首页。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运营效率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（五）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收支结构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14.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医疗盈亏率▲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计算方法：医疗盈亏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同期医疗活动收入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6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15.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资产负债率▲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计算方法：负债合计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同期资产合计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600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运营效率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（五）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收支结构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16.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人员经费占比▲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计算方法：人员经费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同期医疗活动费用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7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17.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万元收入能耗占比▲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计算方法：总能耗</w:t>
            </w:r>
            <w:r>
              <w:rPr>
                <w:rStyle w:val="7"/>
                <w:rFonts w:hint="default" w:ascii="Times New Roman" w:hAnsi="Times New Roman" w:eastAsia="仿宋_GB2312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同期总收入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仿宋_GB2312" w:cs="Times New Roman"/>
                <w:lang w:bidi="ar"/>
              </w:rPr>
              <w:t>10000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18.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医疗收入中来自医保基金的比例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）门诊收入中来自医保基金的比例：门诊收入中来自医保基金的收入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门诊收入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）住院收入中来自医保基金的比例：住院收入中来自医保基金的收入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住院收入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75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19.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医疗服务收入（不含药品、耗材、检查检验收入）占医疗收入比例▲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计算方法：医疗服务收入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同期医疗收入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6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both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</w:pP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（六）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费用控制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20.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医疗收入增幅▲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28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28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）门诊收入增幅：（本年度门诊收入一上一年度门诊收入）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上一年度门诊收入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）住院收入增幅：（本年度住院收入一上一年度住院收入）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上一年度住院收入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290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二、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运营效率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（六）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费用控制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21.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次均费用增幅▲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）门诊次均费用增幅：（本年度门诊患者次均医药费用一上一年度门诊患者次均医药费用）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上一年度门诊患者次均医药费用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。门诊患者次均医药费用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=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门诊收入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门诊人次数。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）住院次均费用增幅：（本年度出院患者次均医药费用一上一年度出院患者次均医药费用）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上一年度出院患者次均医药费用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。出院患者次均医药费用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=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出院患者住院费用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出院人次数。由于整体出院患者平均医药费用受多种因素影响，为使数据尽量可比，通过疾病严重程度（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CMI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）调整。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440" w:hRule="atLeast"/>
          <w:jc w:val="center"/>
        </w:trPr>
        <w:tc>
          <w:tcPr>
            <w:tcW w:w="920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22.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次均药品费用增幅▲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）门诊次均药品费用增幅：（本年度门诊患者次均药品费用一上一年度门诊患者次均药品费用）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上一年度门诊患者次均药品费用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。门诊患者次均药品费用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=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门诊药品收入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门诊人次数。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2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）护院次均药品费用增幅：（本年度出院患者次均药品费用一上一年度出院患者次均药品费用）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上一年度出院患者次均药品费用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。出院患者次均药品费用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=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出院患者药品费用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出院人次数。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指标来源：财务年报表。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三、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持续发展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（七）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人员结构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23.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医护比▲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计算方法：医院注册执业（助理）医师总数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全院同期注册护士总数。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指标来源：国家医疗机构、医师、护士电子化注册系统。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7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  <w:lang w:eastAsia="zh-CN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24.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麻醉、儿科、重症、病例、中医医师占比▲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cs="Times New Roman"/>
                <w:lang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计算方法：医院注册的麻醉、儿科、重症、病理、中医在岗医师数/全院同期医师总数◊100%；</w:t>
            </w:r>
          </w:p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Style w:val="6"/>
                <w:rFonts w:hint="default" w:ascii="Times New Roman" w:hAnsi="Times New Roman" w:eastAsia="仿宋_GB2312" w:cs="Times New Roman"/>
                <w:lang w:val="en-US" w:eastAsia="zh-CN" w:bidi="ar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指标来源：国家医疗机构、医师、护士电子化注册系统。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15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三、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持续发展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（八）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学科建设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5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人才培养经费投入占比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计算方法：人才培养经费投入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/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医院当年总经费</w:t>
            </w:r>
            <w:r>
              <w:rPr>
                <w:rStyle w:val="8"/>
                <w:rFonts w:hint="default" w:ascii="Times New Roman" w:hAnsi="Times New Roman" w:cs="Times New Roman"/>
                <w:lang w:bidi="ar"/>
              </w:rPr>
              <w:t>◊</w:t>
            </w:r>
            <w:r>
              <w:rPr>
                <w:rStyle w:val="7"/>
                <w:rFonts w:hint="default" w:ascii="Times New Roman" w:hAnsi="Times New Roman" w:eastAsia="等线" w:cs="Times New Roman"/>
                <w:lang w:bidi="ar"/>
              </w:rPr>
              <w:t>100%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指标来源：医院填报。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6.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专科能力▲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计算方法：专科病种医疗服务相关指标评价。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指标来源：病案首页。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760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四、</w:t>
            </w:r>
            <w:r>
              <w:rPr>
                <w:rStyle w:val="7"/>
                <w:rFonts w:hint="default" w:ascii="Times New Roman" w:hAnsi="Times New Roman" w:eastAsia="仿宋_GB2312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满意度评价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（九）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患者满意度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7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患者满意度▲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计算方法：门诊、住院患者满意度调查得分。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指标来源：国家公立医院满意度调查平台。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900" w:hRule="atLeast"/>
          <w:jc w:val="center"/>
        </w:trPr>
        <w:tc>
          <w:tcPr>
            <w:tcW w:w="920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tcBorders>
              <w:top w:val="single" w:color="000000" w:sz="4" w:space="0"/>
              <w:left w:val="single" w:color="000000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（十）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医务人员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满意度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2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8</w:t>
            </w:r>
            <w:r>
              <w:rPr>
                <w:rFonts w:hint="default" w:ascii="Times New Roman" w:hAnsi="Times New Roman" w:eastAsia="等线" w:cs="Times New Roman"/>
                <w:color w:val="000000"/>
                <w:kern w:val="0"/>
                <w:sz w:val="24"/>
                <w:szCs w:val="24"/>
                <w:lang w:bidi="ar"/>
              </w:rPr>
              <w:t>.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医务人员满意度▲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定量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4"/>
                <w:szCs w:val="24"/>
              </w:rPr>
            </w:pP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计算方法：医务人员满意度调查得分。</w:t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6"/>
                <w:rFonts w:hint="default" w:ascii="Times New Roman" w:hAnsi="Times New Roman" w:cs="Times New Roman"/>
                <w:lang w:bidi="ar"/>
              </w:rPr>
              <w:t>指标来源：国家公立医院满意度调查平台。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140" w:hRule="atLeast"/>
          <w:jc w:val="center"/>
        </w:trPr>
        <w:tc>
          <w:tcPr>
            <w:tcW w:w="920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五、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政府指令性任务</w:t>
            </w:r>
          </w:p>
        </w:tc>
        <w:tc>
          <w:tcPr>
            <w:tcW w:w="972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（十一）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社会责任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29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.应急救援和医疗保障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定性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认真落实抢险救灾、应急救援等突发事件处置和重大活动医疗保障等任务。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指标来源：省、市、县（区）卫生健康行政部门，医院填报。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480" w:hRule="atLeast"/>
          <w:jc w:val="center"/>
        </w:trPr>
        <w:tc>
          <w:tcPr>
            <w:tcW w:w="920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972" w:type="dxa"/>
            <w:vMerge w:val="continue"/>
            <w:tcBorders>
              <w:top w:val="single" w:color="auto" w:sz="4" w:space="0"/>
              <w:left w:val="single" w:color="000000" w:sz="4" w:space="0"/>
              <w:bottom w:val="single" w:color="auto" w:sz="4" w:space="0"/>
              <w:right w:val="single" w:color="auto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</w:p>
        </w:tc>
        <w:tc>
          <w:tcPr>
            <w:tcW w:w="1472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30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.重大违法违纪行为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定性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计算方法：本年度内发生以下情况的医疗机构给予绩效考核降级处理：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1.发生负主要责任的重大医疗事故、重大安全生产事故等造成严重社会影响；2.发生严重违法、违纪案件；3.发生重大行风案件，造成严重不良社会影响的。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数据来源：医院填报，各地市卫生健康行政部门审核。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80" w:hRule="atLeast"/>
          <w:jc w:val="center"/>
        </w:trPr>
        <w:tc>
          <w:tcPr>
            <w:tcW w:w="920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六、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健康教育和健康促进</w:t>
            </w:r>
          </w:p>
        </w:tc>
        <w:tc>
          <w:tcPr>
            <w:tcW w:w="972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（十二）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健康宣教</w:t>
            </w:r>
          </w:p>
        </w:tc>
        <w:tc>
          <w:tcPr>
            <w:tcW w:w="1472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3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.健康教育</w:t>
            </w:r>
          </w:p>
        </w:tc>
        <w:tc>
          <w:tcPr>
            <w:tcW w:w="703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定性</w:t>
            </w:r>
          </w:p>
        </w:tc>
        <w:tc>
          <w:tcPr>
            <w:tcW w:w="4269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 w:val="0"/>
              <w:spacing w:line="300" w:lineRule="exact"/>
              <w:jc w:val="left"/>
              <w:textAlignment w:val="center"/>
              <w:rPr>
                <w:rFonts w:hint="default" w:ascii="Times New Roman" w:hAnsi="Times New Roman" w:eastAsia="仿宋_GB2312" w:cs="Times New Roman"/>
                <w:color w:val="000000"/>
                <w:sz w:val="24"/>
                <w:szCs w:val="24"/>
              </w:rPr>
            </w:pP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引导医院及其医务人员做好健康教育工作，医院落实健康教育所需的人、财、物等资源，持续提升医务人员开展健康教育的综合能力，切实指导患者及其家属、社区居民等学习掌握预防疾病和促进健康的知识和技能，促进健康素养水平和健康水平稳步提升。</w:t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br w:type="textWrapping"/>
            </w:r>
            <w:r>
              <w:rPr>
                <w:rFonts w:hint="default" w:ascii="Times New Roman" w:hAnsi="Times New Roman" w:eastAsia="仿宋_GB2312" w:cs="Times New Roman"/>
                <w:color w:val="000000"/>
                <w:kern w:val="0"/>
                <w:sz w:val="24"/>
                <w:szCs w:val="24"/>
                <w:lang w:bidi="ar"/>
              </w:rPr>
              <w:t>数据来源：医院填报，各地市卫生健康行政部门审核。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660" w:hRule="atLeast"/>
          <w:jc w:val="center"/>
        </w:trPr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</w:p>
        </w:tc>
        <w:tc>
          <w:tcPr>
            <w:tcW w:w="7416" w:type="dxa"/>
            <w:gridSpan w:val="4"/>
            <w:tcBorders>
              <w:top w:val="nil"/>
              <w:left w:val="nil"/>
              <w:bottom w:val="nil"/>
              <w:right w:val="nil"/>
            </w:tcBorders>
            <w:noWrap w:val="0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pageBreakBefore w:val="0"/>
              <w:widowControl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pacing w:line="300" w:lineRule="exact"/>
              <w:jc w:val="left"/>
              <w:textAlignment w:val="center"/>
              <w:rPr>
                <w:rFonts w:hint="default" w:ascii="Times New Roman" w:hAnsi="Times New Roman" w:eastAsia="等线" w:cs="Times New Roman"/>
                <w:color w:val="000000"/>
                <w:sz w:val="22"/>
                <w:szCs w:val="22"/>
              </w:rPr>
            </w:pP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注</w:t>
            </w:r>
            <w:r>
              <w:rPr>
                <w:rStyle w:val="10"/>
                <w:rFonts w:hint="default" w:ascii="Times New Roman" w:hAnsi="Times New Roman" w:eastAsia="等线" w:cs="Times New Roman"/>
                <w:lang w:bidi="ar"/>
              </w:rPr>
              <w:t>: 1.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标记“▲”的为国家监测指标。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0"/>
                <w:rFonts w:hint="default" w:ascii="Times New Roman" w:hAnsi="Times New Roman" w:eastAsia="等线" w:cs="Times New Roman"/>
                <w:lang w:bidi="ar"/>
              </w:rPr>
              <w:t xml:space="preserve">   2.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二级公立医院绩效考核指标体系共3</w:t>
            </w:r>
            <w:r>
              <w:rPr>
                <w:rStyle w:val="9"/>
                <w:rFonts w:hint="default" w:ascii="Times New Roman" w:hAnsi="Times New Roman" w:eastAsia="宋体" w:cs="Times New Roman"/>
                <w:lang w:val="en-US" w:eastAsia="zh-CN" w:bidi="ar"/>
              </w:rPr>
              <w:t>1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个指标，其中国家监测指标</w:t>
            </w:r>
            <w:r>
              <w:rPr>
                <w:rStyle w:val="10"/>
                <w:rFonts w:hint="default" w:ascii="Times New Roman" w:hAnsi="Times New Roman" w:eastAsia="等线" w:cs="Times New Roman"/>
                <w:lang w:bidi="ar"/>
              </w:rPr>
              <w:t>21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个。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br w:type="textWrapping"/>
            </w:r>
            <w:r>
              <w:rPr>
                <w:rStyle w:val="10"/>
                <w:rFonts w:hint="default" w:ascii="Times New Roman" w:hAnsi="Times New Roman" w:eastAsia="等线" w:cs="Times New Roman"/>
                <w:lang w:bidi="ar"/>
              </w:rPr>
              <w:t xml:space="preserve">   3.</w:t>
            </w:r>
            <w:r>
              <w:rPr>
                <w:rStyle w:val="9"/>
                <w:rFonts w:hint="default" w:ascii="Times New Roman" w:hAnsi="Times New Roman" w:cs="Times New Roman"/>
                <w:lang w:bidi="ar"/>
              </w:rPr>
              <w:t>国家卫生健康委制定绩效考核国家监测的微创手术目录、三级手术目录、重点监控药品目录和重点监控高值医用耗材目录。</w:t>
            </w:r>
          </w:p>
        </w:tc>
      </w:tr>
    </w:tbl>
    <w:p>
      <w:bookmarkStart w:id="0" w:name="_GoBack"/>
      <w:bookmarkEnd w:id="0"/>
    </w:p>
    <w:sectPr>
      <w:pgSz w:w="11906" w:h="16838"/>
      <w:pgMar w:top="2041" w:right="1531" w:bottom="2041" w:left="1531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1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等线">
    <w:altName w:val="微软雅黑"/>
    <w:panose1 w:val="02010600030101010101"/>
    <w:charset w:val="86"/>
    <w:family w:val="auto"/>
    <w:pitch w:val="default"/>
    <w:sig w:usb0="00000000" w:usb1="00000000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35FD4264"/>
    <w:rsid w:val="35FD4264"/>
    <w:rsid w:val="45CA5A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仿宋_GB2312" w:cs="Times New Roman"/>
      <w:kern w:val="2"/>
      <w:sz w:val="32"/>
      <w:lang w:val="en-US" w:eastAsia="zh-CN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4">
    <w:name w:val="font31"/>
    <w:basedOn w:val="3"/>
    <w:qFormat/>
    <w:uiPriority w:val="0"/>
    <w:rPr>
      <w:rFonts w:ascii="方正小标宋简体" w:hAnsi="方正小标宋简体" w:eastAsia="方正小标宋简体" w:cs="方正小标宋简体"/>
      <w:color w:val="000000"/>
      <w:sz w:val="40"/>
      <w:szCs w:val="40"/>
      <w:u w:val="none"/>
    </w:rPr>
  </w:style>
  <w:style w:type="character" w:customStyle="1" w:styleId="5">
    <w:name w:val="font91"/>
    <w:basedOn w:val="3"/>
    <w:qFormat/>
    <w:uiPriority w:val="0"/>
    <w:rPr>
      <w:rFonts w:ascii="仿宋_GB2312" w:hAnsi="Calibri" w:eastAsia="仿宋_GB2312" w:cs="仿宋_GB2312"/>
      <w:b/>
      <w:color w:val="000000"/>
      <w:sz w:val="24"/>
      <w:szCs w:val="24"/>
      <w:u w:val="none"/>
    </w:rPr>
  </w:style>
  <w:style w:type="character" w:customStyle="1" w:styleId="6">
    <w:name w:val="font21"/>
    <w:basedOn w:val="3"/>
    <w:qFormat/>
    <w:uiPriority w:val="0"/>
    <w:rPr>
      <w:rFonts w:hint="eastAsia" w:ascii="仿宋_GB2312" w:hAnsi="Calibri" w:eastAsia="仿宋_GB2312" w:cs="仿宋_GB2312"/>
      <w:color w:val="000000"/>
      <w:sz w:val="24"/>
      <w:szCs w:val="24"/>
      <w:u w:val="none"/>
    </w:rPr>
  </w:style>
  <w:style w:type="character" w:customStyle="1" w:styleId="7">
    <w:name w:val="font61"/>
    <w:basedOn w:val="3"/>
    <w:qFormat/>
    <w:uiPriority w:val="0"/>
    <w:rPr>
      <w:rFonts w:hint="default" w:ascii="Times New Roman" w:hAnsi="Times New Roman" w:eastAsia="宋体" w:cs="Times New Roman"/>
      <w:color w:val="000000"/>
      <w:sz w:val="24"/>
      <w:szCs w:val="24"/>
      <w:u w:val="none"/>
    </w:rPr>
  </w:style>
  <w:style w:type="character" w:customStyle="1" w:styleId="8">
    <w:name w:val="font71"/>
    <w:basedOn w:val="3"/>
    <w:qFormat/>
    <w:uiPriority w:val="0"/>
    <w:rPr>
      <w:rFonts w:hint="default" w:ascii="等线" w:hAnsi="等线" w:eastAsia="等线" w:cs="等线"/>
      <w:color w:val="000000"/>
      <w:sz w:val="24"/>
      <w:szCs w:val="24"/>
      <w:u w:val="none"/>
    </w:rPr>
  </w:style>
  <w:style w:type="character" w:customStyle="1" w:styleId="9">
    <w:name w:val="font81"/>
    <w:basedOn w:val="3"/>
    <w:qFormat/>
    <w:uiPriority w:val="0"/>
    <w:rPr>
      <w:rFonts w:hint="eastAsia" w:ascii="宋体" w:hAnsi="宋体" w:eastAsia="宋体" w:cs="宋体"/>
      <w:color w:val="000000"/>
      <w:sz w:val="22"/>
      <w:szCs w:val="22"/>
      <w:u w:val="none"/>
    </w:rPr>
  </w:style>
  <w:style w:type="character" w:customStyle="1" w:styleId="10">
    <w:name w:val="font41"/>
    <w:basedOn w:val="3"/>
    <w:qFormat/>
    <w:uiPriority w:val="0"/>
    <w:rPr>
      <w:rFonts w:hint="default" w:ascii="Times New Roman" w:hAnsi="Times New Roman" w:eastAsia="宋体" w:cs="Times New Roman"/>
      <w:color w:val="000000"/>
      <w:sz w:val="22"/>
      <w:szCs w:val="22"/>
      <w:u w:val="none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省卫生和计划生育委员会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Office_11.8.2.8696_F1E327BC-269C-435d-A152-05C5408002CA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2020-07-31T01:05:00Z</dcterms:created>
  <dc:creator>eva</dc:creator>
  <cp:lastModifiedBy>eva</cp:lastModifiedBy>
  <dcterms:modified xsi:type="dcterms:W3CDTF">2020-07-31T01:05:58Z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2052-11.8.2.8696</vt:lpwstr>
  </property>
</Properties>
</file>