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远程培训操作指南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学员可通过电脑端或手机等移动终端登录在线学习。</w:t>
      </w:r>
    </w:p>
    <w:p>
      <w:pPr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一、电脑端登录：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输入网址“www.91huayi.com”--注册后登录--选择“全员专项”--选择“广东省卫生健康委专项培训”--选择课程《广东省涉及人的生物医学研究伦理远程培训》--进入课件学习及考试--完成全部课程学习并考核合格--申请证书--审核通过--下载打印防伪合格证书，授予电子学分。</w:t>
      </w:r>
    </w:p>
    <w:p>
      <w:pPr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二、手机端登录：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FF"/>
          <w:sz w:val="32"/>
          <w:szCs w:val="32"/>
          <w:highlight w:val="yellow"/>
          <w:shd w:val="clear" w:color="FFFFFF" w:fill="D9D9D9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手机安装“掌上华医”App--注册后登录--选择“继续教育”--“全员专项”--选择“广东省卫生健康委专项培训”选择课程《广东省涉及人的生物医学研究伦理远程培训》--进入课件学习及考试--完成全部课程学习并考核合格--申请证书--审核通过--下载打印防伪合格证书，</w:t>
      </w:r>
      <w:r>
        <w:rPr>
          <w:rFonts w:hint="default" w:ascii="Times New Roman" w:hAnsi="Times New Roman" w:eastAsia="仿宋_GB2312" w:cs="Times New Roman"/>
          <w:color w:val="0000FF"/>
          <w:sz w:val="32"/>
          <w:szCs w:val="32"/>
          <w:highlight w:val="yellow"/>
          <w:shd w:val="clear" w:color="FFFFFF" w:fill="D9D9D9"/>
        </w:rPr>
        <w:t>授予电子学分。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FF"/>
          <w:sz w:val="32"/>
          <w:szCs w:val="32"/>
          <w:highlight w:val="yellow"/>
          <w:shd w:val="clear" w:color="FFFFFF" w:fill="D9D9D9"/>
        </w:rPr>
      </w:pPr>
    </w:p>
    <w:p>
      <w:pPr>
        <w:spacing w:line="580" w:lineRule="exact"/>
        <w:ind w:firstLine="640" w:firstLineChars="200"/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注：自行打印的防伪合格证书请妥善保管，作为参加省级涉及人的生物医学研究伦理培训合格的有效证明。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22E44"/>
    <w:rsid w:val="45CA5A85"/>
    <w:rsid w:val="47B2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2020-10-10T10:36:00Z</dcterms:created>
  <dc:creator>eva</dc:creator>
  <cp:lastModifiedBy>eva</cp:lastModifiedBy>
  <dcterms:modified xsi:type="dcterms:W3CDTF">2020-10-10T10:37:28Z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