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t>附件</w:t>
      </w:r>
      <w:r>
        <w:rPr>
          <w:rFonts w:hint="eastAsia" w:ascii="Times New Roman" w:hAnsi="Times New Roman" w:eastAsia="黑体" w:cs="Times New Roman"/>
          <w:color w:val="auto"/>
          <w:szCs w:val="32"/>
          <w:highlight w:val="none"/>
          <w:lang w:val="en-US" w:eastAsia="zh-CN"/>
        </w:rPr>
        <w:t>1</w:t>
      </w:r>
      <w:r>
        <w:rPr>
          <w:rFonts w:hint="default" w:ascii="Times New Roman" w:hAnsi="Times New Roman" w:eastAsia="黑体" w:cs="Times New Roman"/>
          <w:color w:val="auto"/>
          <w:szCs w:val="32"/>
          <w:highlight w:val="none"/>
        </w:rPr>
        <w:t>-1</w:t>
      </w:r>
    </w:p>
    <w:p>
      <w:pPr>
        <w:pStyle w:val="2"/>
        <w:spacing w:before="62" w:beforeLines="20" w:after="156" w:afterLines="50" w:line="700" w:lineRule="exact"/>
        <w:jc w:val="center"/>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疾病预防控制体系现代化建设项目目标任务表</w:t>
      </w:r>
    </w:p>
    <w:tbl>
      <w:tblPr>
        <w:tblStyle w:val="4"/>
        <w:tblW w:w="14880" w:type="dxa"/>
        <w:jc w:val="center"/>
        <w:tblInd w:w="0" w:type="dxa"/>
        <w:tblLayout w:type="fixed"/>
        <w:tblCellMar>
          <w:top w:w="15" w:type="dxa"/>
          <w:left w:w="15" w:type="dxa"/>
          <w:bottom w:w="15" w:type="dxa"/>
          <w:right w:w="15" w:type="dxa"/>
        </w:tblCellMar>
      </w:tblPr>
      <w:tblGrid>
        <w:gridCol w:w="1178"/>
        <w:gridCol w:w="1490"/>
        <w:gridCol w:w="1073"/>
        <w:gridCol w:w="11139"/>
      </w:tblGrid>
      <w:tr>
        <w:tblPrEx>
          <w:tblLayout w:type="fixed"/>
          <w:tblCellMar>
            <w:top w:w="15" w:type="dxa"/>
            <w:left w:w="15" w:type="dxa"/>
            <w:bottom w:w="15" w:type="dxa"/>
            <w:right w:w="15" w:type="dxa"/>
          </w:tblCellMar>
        </w:tblPrEx>
        <w:trPr>
          <w:trHeight w:val="432" w:hRule="atLeast"/>
          <w:jc w:val="center"/>
        </w:trPr>
        <w:tc>
          <w:tcPr>
            <w:tcW w:w="11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黑体" w:cs="Times New Roman"/>
                <w:b w:val="0"/>
                <w:bCs/>
                <w:color w:val="auto"/>
                <w:sz w:val="24"/>
                <w:szCs w:val="24"/>
                <w:highlight w:val="none"/>
              </w:rPr>
            </w:pPr>
            <w:r>
              <w:rPr>
                <w:rStyle w:val="6"/>
                <w:rFonts w:hint="default" w:ascii="Times New Roman" w:hAnsi="Times New Roman" w:eastAsia="黑体" w:cs="Times New Roman"/>
                <w:b w:val="0"/>
                <w:bCs/>
                <w:color w:val="auto"/>
                <w:highlight w:val="none"/>
                <w:lang w:bidi="ar"/>
              </w:rPr>
              <w:t>类别</w:t>
            </w:r>
          </w:p>
        </w:tc>
        <w:tc>
          <w:tcPr>
            <w:tcW w:w="137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黑体" w:cs="Times New Roman"/>
                <w:b w:val="0"/>
                <w:bCs/>
                <w:color w:val="auto"/>
                <w:sz w:val="24"/>
                <w:szCs w:val="24"/>
                <w:highlight w:val="none"/>
              </w:rPr>
            </w:pPr>
            <w:r>
              <w:rPr>
                <w:rStyle w:val="6"/>
                <w:rFonts w:hint="default" w:ascii="Times New Roman" w:hAnsi="Times New Roman" w:eastAsia="黑体" w:cs="Times New Roman"/>
                <w:b w:val="0"/>
                <w:bCs/>
                <w:color w:val="auto"/>
                <w:highlight w:val="none"/>
                <w:lang w:bidi="ar"/>
              </w:rPr>
              <w:t>内容</w:t>
            </w:r>
          </w:p>
        </w:tc>
      </w:tr>
      <w:tr>
        <w:tblPrEx>
          <w:tblLayout w:type="fixed"/>
          <w:tblCellMar>
            <w:top w:w="15" w:type="dxa"/>
            <w:left w:w="15" w:type="dxa"/>
            <w:bottom w:w="15" w:type="dxa"/>
            <w:right w:w="15" w:type="dxa"/>
          </w:tblCellMar>
        </w:tblPrEx>
        <w:trPr>
          <w:trHeight w:val="1298" w:hRule="atLeast"/>
          <w:jc w:val="center"/>
        </w:trPr>
        <w:tc>
          <w:tcPr>
            <w:tcW w:w="11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cs="Times New Roman"/>
                <w:b/>
                <w:bCs/>
                <w:color w:val="auto"/>
                <w:sz w:val="24"/>
                <w:szCs w:val="24"/>
                <w:highlight w:val="none"/>
              </w:rPr>
            </w:pPr>
            <w:r>
              <w:rPr>
                <w:rStyle w:val="7"/>
                <w:rFonts w:hint="default" w:ascii="Times New Roman" w:hAnsi="Times New Roman" w:eastAsia="仿宋_GB2312" w:cs="Times New Roman"/>
                <w:b/>
                <w:bCs/>
                <w:color w:val="auto"/>
                <w:highlight w:val="none"/>
                <w:lang w:bidi="ar"/>
              </w:rPr>
              <w:t>项目目标</w:t>
            </w:r>
          </w:p>
        </w:tc>
        <w:tc>
          <w:tcPr>
            <w:tcW w:w="25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color w:val="auto"/>
                <w:sz w:val="24"/>
                <w:szCs w:val="24"/>
                <w:highlight w:val="none"/>
              </w:rPr>
            </w:pPr>
            <w:r>
              <w:rPr>
                <w:rStyle w:val="7"/>
                <w:rFonts w:hint="default" w:ascii="Times New Roman" w:hAnsi="Times New Roman" w:eastAsia="仿宋_GB2312" w:cs="Times New Roman"/>
                <w:color w:val="auto"/>
                <w:sz w:val="24"/>
                <w:szCs w:val="24"/>
                <w:highlight w:val="none"/>
                <w:lang w:bidi="ar"/>
              </w:rPr>
              <w:t>总目标</w:t>
            </w:r>
          </w:p>
        </w:tc>
        <w:tc>
          <w:tcPr>
            <w:tcW w:w="11139"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afterLines="0" w:line="300" w:lineRule="exact"/>
              <w:outlineLvl w:val="9"/>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全面优化疾控机构设施设备条件，建设三级突发急性传染病防控队伍，加强和完善队伍装备配置，提高现场处置能力。省疾控中心通过开展</w:t>
            </w:r>
            <w:r>
              <w:rPr>
                <w:rFonts w:hint="default" w:ascii="Times New Roman" w:hAnsi="Times New Roman" w:eastAsia="仿宋_GB2312" w:cs="Times New Roman"/>
                <w:b w:val="0"/>
                <w:bCs w:val="0"/>
                <w:snapToGrid/>
                <w:color w:val="auto"/>
                <w:kern w:val="0"/>
                <w:sz w:val="24"/>
                <w:szCs w:val="24"/>
                <w:highlight w:val="none"/>
                <w:lang w:bidi="ar"/>
              </w:rPr>
              <w:t>高水平疾控中心综合建设项目</w:t>
            </w:r>
            <w:r>
              <w:rPr>
                <w:rFonts w:hint="default" w:ascii="Times New Roman" w:hAnsi="Times New Roman" w:eastAsia="仿宋_GB2312" w:cs="Times New Roman"/>
                <w:b w:val="0"/>
                <w:bCs w:val="0"/>
                <w:snapToGrid/>
                <w:color w:val="auto"/>
                <w:kern w:val="0"/>
                <w:sz w:val="24"/>
                <w:szCs w:val="24"/>
                <w:highlight w:val="none"/>
                <w:lang w:val="en-US" w:eastAsia="zh-CN" w:bidi="ar"/>
              </w:rPr>
              <w:t>和</w:t>
            </w:r>
            <w:r>
              <w:rPr>
                <w:rFonts w:hint="default" w:ascii="Times New Roman" w:hAnsi="Times New Roman" w:eastAsia="仿宋_GB2312" w:cs="Times New Roman"/>
                <w:b w:val="0"/>
                <w:bCs w:val="0"/>
                <w:snapToGrid/>
                <w:color w:val="auto"/>
                <w:kern w:val="0"/>
                <w:sz w:val="24"/>
                <w:szCs w:val="24"/>
                <w:highlight w:val="none"/>
                <w:lang w:bidi="ar"/>
              </w:rPr>
              <w:t>突发急性传染病新冠肺炎核酸检测实验室平台</w:t>
            </w:r>
            <w:r>
              <w:rPr>
                <w:rFonts w:hint="eastAsia" w:ascii="Times New Roman" w:hAnsi="Times New Roman" w:eastAsia="仿宋_GB2312" w:cs="Times New Roman"/>
                <w:color w:val="auto"/>
                <w:kern w:val="0"/>
                <w:sz w:val="24"/>
                <w:szCs w:val="24"/>
                <w:highlight w:val="none"/>
                <w:lang w:val="en-US" w:eastAsia="zh-CN" w:bidi="ar"/>
              </w:rPr>
              <w:t>项目</w:t>
            </w:r>
            <w:r>
              <w:rPr>
                <w:rFonts w:hint="default" w:ascii="Times New Roman" w:hAnsi="Times New Roman" w:eastAsia="仿宋_GB2312" w:cs="Times New Roman"/>
                <w:color w:val="auto"/>
                <w:kern w:val="0"/>
                <w:sz w:val="24"/>
                <w:szCs w:val="24"/>
                <w:highlight w:val="none"/>
                <w:lang w:val="en-US" w:eastAsia="zh-CN" w:bidi="ar"/>
              </w:rPr>
              <w:t>，继续保持全国领先的综合实力，具备传染病快速排查和检测“一锤定音”能力；地市级疾控中心实验室检测能力大幅提升；</w:t>
            </w:r>
            <w:r>
              <w:rPr>
                <w:rFonts w:hint="default" w:ascii="Times New Roman" w:hAnsi="Times New Roman" w:eastAsia="仿宋_GB2312" w:cs="Times New Roman"/>
                <w:b w:val="0"/>
                <w:bCs w:val="0"/>
                <w:snapToGrid w:val="0"/>
                <w:color w:val="auto"/>
                <w:kern w:val="0"/>
                <w:sz w:val="24"/>
                <w:szCs w:val="24"/>
                <w:highlight w:val="none"/>
              </w:rPr>
              <w:t>县</w:t>
            </w:r>
            <w:r>
              <w:rPr>
                <w:rFonts w:hint="eastAsia" w:ascii="Times New Roman" w:hAnsi="Times New Roman" w:eastAsia="仿宋_GB2312" w:cs="Times New Roman"/>
                <w:b w:val="0"/>
                <w:bCs w:val="0"/>
                <w:snapToGrid w:val="0"/>
                <w:color w:val="auto"/>
                <w:kern w:val="0"/>
                <w:sz w:val="24"/>
                <w:szCs w:val="24"/>
                <w:highlight w:val="none"/>
                <w:lang w:val="en-US" w:eastAsia="zh-CN" w:bidi="ar-SA"/>
              </w:rPr>
              <w:t>（市、</w:t>
            </w:r>
            <w:r>
              <w:rPr>
                <w:rFonts w:hint="default" w:ascii="Times New Roman" w:hAnsi="Times New Roman" w:eastAsia="仿宋_GB2312" w:cs="Times New Roman"/>
                <w:b w:val="0"/>
                <w:bCs w:val="0"/>
                <w:snapToGrid w:val="0"/>
                <w:color w:val="auto"/>
                <w:kern w:val="0"/>
                <w:sz w:val="24"/>
                <w:szCs w:val="24"/>
                <w:highlight w:val="none"/>
              </w:rPr>
              <w:t>区</w:t>
            </w:r>
            <w:r>
              <w:rPr>
                <w:rFonts w:hint="eastAsia" w:ascii="Times New Roman" w:hAnsi="Times New Roman" w:eastAsia="仿宋_GB2312" w:cs="Times New Roman"/>
                <w:b w:val="0"/>
                <w:bCs w:val="0"/>
                <w:snapToGrid w:val="0"/>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bidi="ar"/>
              </w:rPr>
              <w:t>级疾控中心均具备核酸检测能力。全省疾控体系单日最高核酸检测量达7万人份。</w:t>
            </w:r>
          </w:p>
        </w:tc>
      </w:tr>
      <w:tr>
        <w:tblPrEx>
          <w:tblLayout w:type="fixed"/>
          <w:tblCellMar>
            <w:top w:w="15" w:type="dxa"/>
            <w:left w:w="15" w:type="dxa"/>
            <w:bottom w:w="15" w:type="dxa"/>
            <w:right w:w="15" w:type="dxa"/>
          </w:tblCellMar>
        </w:tblPrEx>
        <w:trPr>
          <w:trHeight w:val="9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b/>
                <w:bCs/>
                <w:color w:val="auto"/>
                <w:sz w:val="24"/>
                <w:szCs w:val="24"/>
                <w:highlight w:val="none"/>
              </w:rPr>
            </w:pPr>
          </w:p>
        </w:tc>
        <w:tc>
          <w:tcPr>
            <w:tcW w:w="14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color w:val="auto"/>
                <w:sz w:val="24"/>
                <w:szCs w:val="24"/>
                <w:highlight w:val="none"/>
              </w:rPr>
            </w:pPr>
            <w:r>
              <w:rPr>
                <w:rStyle w:val="7"/>
                <w:rFonts w:hint="default" w:ascii="Times New Roman" w:hAnsi="Times New Roman" w:eastAsia="仿宋_GB2312" w:cs="Times New Roman"/>
                <w:color w:val="auto"/>
                <w:sz w:val="24"/>
                <w:szCs w:val="24"/>
                <w:highlight w:val="none"/>
                <w:lang w:bidi="ar"/>
              </w:rPr>
              <w:t>年度目标</w:t>
            </w:r>
          </w:p>
        </w:tc>
        <w:tc>
          <w:tcPr>
            <w:tcW w:w="10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2020年</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color w:val="auto"/>
                <w:sz w:val="24"/>
                <w:szCs w:val="24"/>
                <w:highlight w:val="none"/>
              </w:rPr>
            </w:pPr>
            <w:r>
              <w:rPr>
                <w:rStyle w:val="7"/>
                <w:rFonts w:hint="default" w:ascii="Times New Roman" w:hAnsi="Times New Roman" w:eastAsia="仿宋_GB2312" w:cs="Times New Roman"/>
                <w:color w:val="auto"/>
                <w:sz w:val="24"/>
                <w:szCs w:val="24"/>
                <w:highlight w:val="none"/>
                <w:lang w:bidi="ar"/>
              </w:rPr>
              <w:t>年底</w:t>
            </w:r>
          </w:p>
        </w:tc>
        <w:tc>
          <w:tcPr>
            <w:tcW w:w="111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开展省疾控中心</w:t>
            </w:r>
            <w:r>
              <w:rPr>
                <w:rFonts w:hint="default" w:ascii="Times New Roman" w:hAnsi="Times New Roman" w:eastAsia="仿宋_GB2312" w:cs="Times New Roman"/>
                <w:b w:val="0"/>
                <w:bCs w:val="0"/>
                <w:snapToGrid/>
                <w:color w:val="auto"/>
                <w:kern w:val="0"/>
                <w:sz w:val="24"/>
                <w:szCs w:val="24"/>
                <w:highlight w:val="none"/>
                <w:lang w:bidi="ar"/>
              </w:rPr>
              <w:t>突发急性传染病新冠肺炎核酸检测实验室平台</w:t>
            </w:r>
            <w:r>
              <w:rPr>
                <w:rFonts w:hint="eastAsia" w:ascii="Times New Roman" w:hAnsi="Times New Roman" w:eastAsia="仿宋_GB2312" w:cs="Times New Roman"/>
                <w:color w:val="auto"/>
                <w:kern w:val="0"/>
                <w:sz w:val="24"/>
                <w:szCs w:val="24"/>
                <w:highlight w:val="none"/>
                <w:lang w:val="en-US" w:eastAsia="zh-CN" w:bidi="ar"/>
              </w:rPr>
              <w:t>项目</w:t>
            </w:r>
            <w:r>
              <w:rPr>
                <w:rFonts w:hint="default" w:ascii="Times New Roman" w:hAnsi="Times New Roman" w:eastAsia="仿宋_GB2312" w:cs="Times New Roman"/>
                <w:color w:val="auto"/>
                <w:kern w:val="0"/>
                <w:sz w:val="24"/>
                <w:szCs w:val="24"/>
                <w:highlight w:val="none"/>
                <w:lang w:val="en-US" w:eastAsia="zh-CN" w:bidi="ar"/>
              </w:rPr>
              <w:t>，推进</w:t>
            </w:r>
            <w:r>
              <w:rPr>
                <w:rFonts w:hint="default" w:ascii="Times New Roman" w:hAnsi="Times New Roman" w:eastAsia="仿宋_GB2312" w:cs="Times New Roman"/>
                <w:b w:val="0"/>
                <w:bCs w:val="0"/>
                <w:color w:val="auto"/>
                <w:kern w:val="0"/>
                <w:sz w:val="24"/>
                <w:szCs w:val="24"/>
                <w:highlight w:val="none"/>
                <w:lang w:bidi="ar"/>
              </w:rPr>
              <w:t>省高水平疾控中心综合建设项目</w:t>
            </w:r>
            <w:r>
              <w:rPr>
                <w:rFonts w:hint="default" w:ascii="Times New Roman" w:hAnsi="Times New Roman" w:eastAsia="仿宋_GB2312" w:cs="Times New Roman"/>
                <w:color w:val="auto"/>
                <w:kern w:val="0"/>
                <w:sz w:val="24"/>
                <w:szCs w:val="24"/>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市</w:t>
            </w:r>
            <w:r>
              <w:rPr>
                <w:rFonts w:hint="default" w:ascii="Times New Roman" w:hAnsi="Times New Roman" w:eastAsia="仿宋_GB2312" w:cs="Times New Roman"/>
                <w:b w:val="0"/>
                <w:bCs w:val="0"/>
                <w:snapToGrid w:val="0"/>
                <w:color w:val="auto"/>
                <w:kern w:val="0"/>
                <w:sz w:val="24"/>
                <w:szCs w:val="24"/>
                <w:highlight w:val="none"/>
              </w:rPr>
              <w:t>县</w:t>
            </w:r>
            <w:r>
              <w:rPr>
                <w:rFonts w:hint="eastAsia" w:ascii="Times New Roman" w:hAnsi="Times New Roman" w:eastAsia="仿宋_GB2312" w:cs="Times New Roman"/>
                <w:b w:val="0"/>
                <w:bCs w:val="0"/>
                <w:snapToGrid w:val="0"/>
                <w:color w:val="auto"/>
                <w:kern w:val="0"/>
                <w:sz w:val="24"/>
                <w:szCs w:val="24"/>
                <w:highlight w:val="none"/>
                <w:lang w:val="en-US" w:eastAsia="zh-CN" w:bidi="ar-SA"/>
              </w:rPr>
              <w:t>（市、</w:t>
            </w:r>
            <w:r>
              <w:rPr>
                <w:rFonts w:hint="default" w:ascii="Times New Roman" w:hAnsi="Times New Roman" w:eastAsia="仿宋_GB2312" w:cs="Times New Roman"/>
                <w:b w:val="0"/>
                <w:bCs w:val="0"/>
                <w:snapToGrid w:val="0"/>
                <w:color w:val="auto"/>
                <w:kern w:val="0"/>
                <w:sz w:val="24"/>
                <w:szCs w:val="24"/>
                <w:highlight w:val="none"/>
              </w:rPr>
              <w:t>区</w:t>
            </w:r>
            <w:r>
              <w:rPr>
                <w:rFonts w:hint="eastAsia" w:ascii="Times New Roman" w:hAnsi="Times New Roman" w:eastAsia="仿宋_GB2312" w:cs="Times New Roman"/>
                <w:b w:val="0"/>
                <w:bCs w:val="0"/>
                <w:snapToGrid w:val="0"/>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bidi="ar"/>
              </w:rPr>
              <w:t>级疾控中心</w:t>
            </w:r>
            <w:r>
              <w:rPr>
                <w:rFonts w:hint="default" w:ascii="Times New Roman" w:hAnsi="Times New Roman" w:eastAsia="仿宋_GB2312" w:cs="Times New Roman"/>
                <w:color w:val="auto"/>
                <w:kern w:val="0"/>
                <w:sz w:val="24"/>
                <w:szCs w:val="24"/>
                <w:highlight w:val="none"/>
                <w:lang w:val="en-US" w:eastAsia="zh-CN" w:bidi="ar"/>
              </w:rPr>
              <w:t>均</w:t>
            </w:r>
            <w:r>
              <w:rPr>
                <w:rFonts w:hint="default" w:ascii="Times New Roman" w:hAnsi="Times New Roman" w:eastAsia="仿宋_GB2312" w:cs="Times New Roman"/>
                <w:color w:val="auto"/>
                <w:kern w:val="0"/>
                <w:sz w:val="24"/>
                <w:szCs w:val="24"/>
                <w:highlight w:val="none"/>
                <w:lang w:bidi="ar"/>
              </w:rPr>
              <w:t>具备核酸检测能力，病原微生物实验室达到生物安全二级防护水平。</w:t>
            </w:r>
            <w:r>
              <w:rPr>
                <w:rFonts w:hint="default" w:ascii="Times New Roman" w:hAnsi="Times New Roman" w:eastAsia="仿宋_GB2312" w:cs="Times New Roman"/>
                <w:color w:val="auto"/>
                <w:kern w:val="0"/>
                <w:sz w:val="24"/>
                <w:szCs w:val="24"/>
                <w:highlight w:val="none"/>
                <w:lang w:val="en-US" w:eastAsia="zh-CN" w:bidi="ar"/>
              </w:rPr>
              <w:t>完成</w:t>
            </w:r>
            <w:r>
              <w:rPr>
                <w:rFonts w:hint="default" w:ascii="Times New Roman" w:hAnsi="Times New Roman" w:eastAsia="仿宋_GB2312" w:cs="Times New Roman"/>
                <w:b w:val="0"/>
                <w:bCs w:val="0"/>
                <w:color w:val="auto"/>
                <w:kern w:val="0"/>
                <w:sz w:val="24"/>
                <w:szCs w:val="24"/>
                <w:highlight w:val="none"/>
                <w:lang w:bidi="ar"/>
              </w:rPr>
              <w:t>省</w:t>
            </w:r>
            <w:r>
              <w:rPr>
                <w:rFonts w:hint="default" w:ascii="Times New Roman" w:hAnsi="Times New Roman" w:eastAsia="仿宋_GB2312" w:cs="Times New Roman"/>
                <w:b w:val="0"/>
                <w:bCs w:val="0"/>
                <w:color w:val="auto"/>
                <w:kern w:val="0"/>
                <w:sz w:val="24"/>
                <w:szCs w:val="24"/>
                <w:highlight w:val="none"/>
                <w:lang w:val="en-US" w:eastAsia="zh-CN" w:bidi="ar"/>
              </w:rPr>
              <w:t>级</w:t>
            </w:r>
            <w:r>
              <w:rPr>
                <w:rFonts w:hint="default" w:ascii="Times New Roman" w:hAnsi="Times New Roman" w:eastAsia="仿宋_GB2312" w:cs="Times New Roman"/>
                <w:b w:val="0"/>
                <w:bCs w:val="0"/>
                <w:color w:val="auto"/>
                <w:kern w:val="0"/>
                <w:sz w:val="24"/>
                <w:szCs w:val="24"/>
                <w:highlight w:val="none"/>
                <w:lang w:bidi="ar"/>
              </w:rPr>
              <w:t>高水平疾控中心综合建设项目</w:t>
            </w:r>
            <w:r>
              <w:rPr>
                <w:rFonts w:hint="default" w:ascii="Times New Roman" w:hAnsi="Times New Roman" w:eastAsia="仿宋_GB2312" w:cs="Times New Roman"/>
                <w:b w:val="0"/>
                <w:bCs w:val="0"/>
                <w:color w:val="auto"/>
                <w:kern w:val="0"/>
                <w:sz w:val="24"/>
                <w:szCs w:val="24"/>
                <w:highlight w:val="none"/>
                <w:lang w:val="en-US" w:eastAsia="zh-CN" w:bidi="ar"/>
              </w:rPr>
              <w:t>前期工作。</w:t>
            </w:r>
          </w:p>
        </w:tc>
      </w:tr>
      <w:tr>
        <w:tblPrEx>
          <w:tblLayout w:type="fixed"/>
          <w:tblCellMar>
            <w:top w:w="15" w:type="dxa"/>
            <w:left w:w="15" w:type="dxa"/>
            <w:bottom w:w="15" w:type="dxa"/>
            <w:right w:w="15" w:type="dxa"/>
          </w:tblCellMar>
        </w:tblPrEx>
        <w:trPr>
          <w:trHeight w:val="9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b/>
                <w:bCs/>
                <w:color w:val="auto"/>
                <w:sz w:val="24"/>
                <w:szCs w:val="24"/>
                <w:highlight w:val="none"/>
              </w:rPr>
            </w:pPr>
          </w:p>
        </w:tc>
        <w:tc>
          <w:tcPr>
            <w:tcW w:w="14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Style w:val="7"/>
                <w:rFonts w:hint="default" w:ascii="Times New Roman" w:hAnsi="Times New Roman" w:eastAsia="仿宋_GB2312" w:cs="Times New Roman"/>
                <w:color w:val="auto"/>
                <w:sz w:val="24"/>
                <w:szCs w:val="24"/>
                <w:highlight w:val="none"/>
                <w:lang w:bidi="ar"/>
              </w:rPr>
            </w:pPr>
          </w:p>
        </w:tc>
        <w:tc>
          <w:tcPr>
            <w:tcW w:w="10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Style w:val="7"/>
                <w:rFonts w:hint="default" w:ascii="Times New Roman" w:hAnsi="Times New Roman" w:eastAsia="仿宋_GB2312" w:cs="Times New Roman"/>
                <w:color w:val="auto"/>
                <w:sz w:val="24"/>
                <w:szCs w:val="24"/>
                <w:highlight w:val="none"/>
                <w:lang w:val="en-US" w:eastAsia="zh-CN" w:bidi="ar"/>
              </w:rPr>
            </w:pPr>
            <w:r>
              <w:rPr>
                <w:rStyle w:val="7"/>
                <w:rFonts w:hint="default" w:ascii="Times New Roman" w:hAnsi="Times New Roman" w:eastAsia="仿宋_GB2312" w:cs="Times New Roman"/>
                <w:color w:val="auto"/>
                <w:sz w:val="24"/>
                <w:szCs w:val="24"/>
                <w:highlight w:val="none"/>
                <w:lang w:val="en-US" w:eastAsia="zh-CN" w:bidi="ar"/>
              </w:rPr>
              <w:t>2021年上半年</w:t>
            </w:r>
          </w:p>
        </w:tc>
        <w:tc>
          <w:tcPr>
            <w:tcW w:w="1113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省疾控中心完成</w:t>
            </w:r>
            <w:r>
              <w:rPr>
                <w:rFonts w:hint="default" w:ascii="Times New Roman" w:hAnsi="Times New Roman" w:eastAsia="仿宋_GB2312" w:cs="Times New Roman"/>
                <w:b w:val="0"/>
                <w:bCs w:val="0"/>
                <w:snapToGrid/>
                <w:color w:val="auto"/>
                <w:kern w:val="0"/>
                <w:sz w:val="24"/>
                <w:szCs w:val="24"/>
                <w:highlight w:val="none"/>
                <w:lang w:bidi="ar"/>
              </w:rPr>
              <w:t>突发急性传染病新冠肺炎核酸检测实验室平台</w:t>
            </w:r>
            <w:r>
              <w:rPr>
                <w:rFonts w:hint="default" w:ascii="Times New Roman" w:hAnsi="Times New Roman" w:eastAsia="仿宋_GB2312" w:cs="Times New Roman"/>
                <w:color w:val="auto"/>
                <w:kern w:val="0"/>
                <w:sz w:val="24"/>
                <w:szCs w:val="24"/>
                <w:highlight w:val="none"/>
                <w:lang w:val="en-US" w:eastAsia="zh-CN" w:bidi="ar"/>
              </w:rPr>
              <w:t>项目并投入使用，建立起新发突发传染病高通量应急检测平台、技术研发平台、检测技术培训和质量控制中心（两平台、一中心）</w:t>
            </w:r>
            <w:r>
              <w:rPr>
                <w:rFonts w:hint="default" w:ascii="Times New Roman" w:hAnsi="Times New Roman" w:eastAsia="仿宋_GB2312" w:cs="Times New Roman"/>
                <w:color w:val="auto"/>
                <w:kern w:val="0"/>
                <w:sz w:val="24"/>
                <w:szCs w:val="24"/>
                <w:highlight w:val="none"/>
                <w:lang w:bidi="ar"/>
              </w:rPr>
              <w:t>，具备传染病快速排查和检测</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一锤定音</w:t>
            </w:r>
            <w:r>
              <w:rPr>
                <w:rFonts w:hint="default" w:ascii="Times New Roman" w:hAnsi="Times New Roman" w:eastAsia="仿宋_GB2312" w:cs="Times New Roman"/>
                <w:color w:val="auto"/>
                <w:kern w:val="0"/>
                <w:sz w:val="24"/>
                <w:szCs w:val="24"/>
                <w:highlight w:val="none"/>
                <w:lang w:eastAsia="zh-CN" w:bidi="ar"/>
              </w:rPr>
              <w:t>”</w:t>
            </w:r>
            <w:r>
              <w:rPr>
                <w:rFonts w:hint="default" w:ascii="Times New Roman" w:hAnsi="Times New Roman" w:eastAsia="仿宋_GB2312" w:cs="Times New Roman"/>
                <w:color w:val="auto"/>
                <w:kern w:val="0"/>
                <w:sz w:val="24"/>
                <w:szCs w:val="24"/>
                <w:highlight w:val="none"/>
                <w:lang w:bidi="ar"/>
              </w:rPr>
              <w:t>能力</w:t>
            </w:r>
            <w:r>
              <w:rPr>
                <w:rFonts w:hint="default" w:ascii="Times New Roman" w:hAnsi="Times New Roman" w:eastAsia="仿宋_GB2312" w:cs="Times New Roman"/>
                <w:color w:val="auto"/>
                <w:kern w:val="0"/>
                <w:sz w:val="24"/>
                <w:szCs w:val="24"/>
                <w:highlight w:val="none"/>
                <w:lang w:eastAsia="zh-CN" w:bidi="ar"/>
              </w:rPr>
              <w:t>。</w:t>
            </w:r>
          </w:p>
        </w:tc>
      </w:tr>
      <w:tr>
        <w:tblPrEx>
          <w:tblLayout w:type="fixed"/>
          <w:tblCellMar>
            <w:top w:w="15" w:type="dxa"/>
            <w:left w:w="15" w:type="dxa"/>
            <w:bottom w:w="15" w:type="dxa"/>
            <w:right w:w="15" w:type="dxa"/>
          </w:tblCellMar>
        </w:tblPrEx>
        <w:trPr>
          <w:trHeight w:val="9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b/>
                <w:bCs/>
                <w:color w:val="auto"/>
                <w:sz w:val="24"/>
                <w:szCs w:val="24"/>
                <w:highlight w:val="none"/>
              </w:rPr>
            </w:pPr>
          </w:p>
        </w:tc>
        <w:tc>
          <w:tcPr>
            <w:tcW w:w="14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cs="Times New Roman"/>
                <w:color w:val="auto"/>
                <w:sz w:val="24"/>
                <w:szCs w:val="24"/>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2022年</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color w:val="auto"/>
                <w:sz w:val="24"/>
                <w:szCs w:val="24"/>
                <w:highlight w:val="none"/>
              </w:rPr>
            </w:pPr>
            <w:r>
              <w:rPr>
                <w:rStyle w:val="7"/>
                <w:rFonts w:hint="default" w:ascii="Times New Roman" w:hAnsi="Times New Roman" w:eastAsia="仿宋_GB2312" w:cs="Times New Roman"/>
                <w:color w:val="auto"/>
                <w:sz w:val="24"/>
                <w:szCs w:val="24"/>
                <w:highlight w:val="none"/>
                <w:lang w:bidi="ar"/>
              </w:rPr>
              <w:t>年底</w:t>
            </w:r>
          </w:p>
        </w:tc>
        <w:tc>
          <w:tcPr>
            <w:tcW w:w="1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6个</w:t>
            </w:r>
            <w:r>
              <w:rPr>
                <w:rFonts w:hint="default" w:ascii="Times New Roman" w:hAnsi="Times New Roman" w:eastAsia="仿宋_GB2312" w:cs="Times New Roman"/>
                <w:color w:val="auto"/>
                <w:kern w:val="0"/>
                <w:sz w:val="24"/>
                <w:szCs w:val="24"/>
                <w:highlight w:val="none"/>
                <w:lang w:val="en-US" w:eastAsia="zh-CN" w:bidi="ar"/>
              </w:rPr>
              <w:t>重要城市</w:t>
            </w:r>
            <w:r>
              <w:rPr>
                <w:rFonts w:hint="default" w:ascii="Times New Roman" w:hAnsi="Times New Roman" w:eastAsia="仿宋_GB2312" w:cs="Times New Roman"/>
                <w:color w:val="auto"/>
                <w:kern w:val="0"/>
                <w:sz w:val="24"/>
                <w:szCs w:val="24"/>
                <w:highlight w:val="none"/>
                <w:lang w:bidi="ar"/>
              </w:rPr>
              <w:t>疾控中心建立（共享）病原微生物实验室，达到生物安全三级防护水平，具备病毒分离培养、全基因组测序、</w:t>
            </w:r>
            <w:r>
              <w:rPr>
                <w:rFonts w:hint="default" w:ascii="Times New Roman" w:hAnsi="Times New Roman" w:eastAsia="仿宋_GB2312" w:cs="Times New Roman"/>
                <w:color w:val="auto"/>
                <w:kern w:val="0"/>
                <w:sz w:val="24"/>
                <w:szCs w:val="24"/>
                <w:highlight w:val="none"/>
                <w:lang w:val="en-US" w:eastAsia="zh-CN" w:bidi="ar"/>
              </w:rPr>
              <w:t>高通量</w:t>
            </w:r>
            <w:r>
              <w:rPr>
                <w:rFonts w:hint="default" w:ascii="Times New Roman" w:hAnsi="Times New Roman" w:eastAsia="仿宋_GB2312" w:cs="Times New Roman"/>
                <w:color w:val="auto"/>
                <w:kern w:val="0"/>
                <w:sz w:val="24"/>
                <w:szCs w:val="24"/>
                <w:highlight w:val="none"/>
                <w:lang w:bidi="ar"/>
              </w:rPr>
              <w:t>核酸检测能力。地市级疾控中心病原微生物实验室达到加强型生物安全二级防护水平，具备</w:t>
            </w:r>
            <w:r>
              <w:rPr>
                <w:rFonts w:hint="default" w:ascii="Times New Roman" w:hAnsi="Times New Roman" w:eastAsia="仿宋_GB2312" w:cs="Times New Roman"/>
                <w:color w:val="auto"/>
                <w:kern w:val="0"/>
                <w:sz w:val="24"/>
                <w:szCs w:val="24"/>
                <w:highlight w:val="none"/>
                <w:lang w:val="en-US" w:eastAsia="zh-CN" w:bidi="ar"/>
              </w:rPr>
              <w:t>高通量</w:t>
            </w:r>
            <w:r>
              <w:rPr>
                <w:rFonts w:hint="default" w:ascii="Times New Roman" w:hAnsi="Times New Roman" w:eastAsia="仿宋_GB2312" w:cs="Times New Roman"/>
                <w:color w:val="auto"/>
                <w:kern w:val="0"/>
                <w:sz w:val="24"/>
                <w:szCs w:val="24"/>
                <w:highlight w:val="none"/>
                <w:lang w:bidi="ar"/>
              </w:rPr>
              <w:t>核酸检测能力。建立起省、市、县突发急性传染病类防控队伍，队伍装备达到标准要求。</w:t>
            </w:r>
          </w:p>
        </w:tc>
      </w:tr>
      <w:tr>
        <w:tblPrEx>
          <w:tblLayout w:type="fixed"/>
          <w:tblCellMar>
            <w:top w:w="15" w:type="dxa"/>
            <w:left w:w="15" w:type="dxa"/>
            <w:bottom w:w="15" w:type="dxa"/>
            <w:right w:w="15" w:type="dxa"/>
          </w:tblCellMar>
        </w:tblPrEx>
        <w:trPr>
          <w:trHeight w:val="665" w:hRule="atLeast"/>
          <w:jc w:val="center"/>
        </w:trPr>
        <w:tc>
          <w:tcPr>
            <w:tcW w:w="1178"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工作任务</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实验室仪器设备填平补齐</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color w:val="auto"/>
                <w:kern w:val="0"/>
                <w:sz w:val="24"/>
                <w:szCs w:val="24"/>
                <w:highlight w:val="none"/>
                <w:lang w:bidi="ar"/>
              </w:rPr>
            </w:pPr>
            <w:r>
              <w:rPr>
                <w:rStyle w:val="7"/>
                <w:rFonts w:hint="default" w:ascii="Times New Roman" w:hAnsi="Times New Roman" w:eastAsia="仿宋_GB2312" w:cs="Times New Roman"/>
                <w:color w:val="auto"/>
                <w:kern w:val="0"/>
                <w:sz w:val="24"/>
                <w:szCs w:val="24"/>
                <w:highlight w:val="none"/>
                <w:lang w:bidi="ar"/>
              </w:rPr>
              <w:t>各级</w:t>
            </w:r>
          </w:p>
        </w:tc>
        <w:tc>
          <w:tcPr>
            <w:tcW w:w="1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参照《</w:t>
            </w:r>
            <w:r>
              <w:rPr>
                <w:rFonts w:hint="default" w:ascii="Times New Roman" w:hAnsi="Times New Roman" w:eastAsia="仿宋_GB2312" w:cs="Times New Roman"/>
                <w:color w:val="auto"/>
                <w:kern w:val="0"/>
                <w:sz w:val="24"/>
                <w:szCs w:val="24"/>
                <w:highlight w:val="none"/>
                <w:lang w:val="en-US" w:eastAsia="zh-CN" w:bidi="ar"/>
              </w:rPr>
              <w:t>疾病预防控制中心建设标准</w:t>
            </w:r>
            <w:r>
              <w:rPr>
                <w:rFonts w:hint="default" w:ascii="Times New Roman" w:hAnsi="Times New Roman" w:eastAsia="仿宋_GB2312" w:cs="Times New Roman"/>
                <w:color w:val="auto"/>
                <w:kern w:val="0"/>
                <w:sz w:val="24"/>
                <w:szCs w:val="24"/>
                <w:highlight w:val="none"/>
                <w:lang w:bidi="ar"/>
              </w:rPr>
              <w:t>》--疾控预防控制中心实验室主要仪器装备配备标准，查漏补缺，填平补齐。</w:t>
            </w:r>
          </w:p>
        </w:tc>
      </w:tr>
      <w:tr>
        <w:tblPrEx>
          <w:tblLayout w:type="fixed"/>
          <w:tblCellMar>
            <w:top w:w="15" w:type="dxa"/>
            <w:left w:w="15" w:type="dxa"/>
            <w:bottom w:w="15" w:type="dxa"/>
            <w:right w:w="15" w:type="dxa"/>
          </w:tblCellMar>
        </w:tblPrEx>
        <w:trPr>
          <w:trHeight w:val="765" w:hRule="atLeast"/>
          <w:jc w:val="center"/>
        </w:trPr>
        <w:tc>
          <w:tcPr>
            <w:tcW w:w="1178" w:type="dxa"/>
            <w:vMerge w:val="continue"/>
            <w:tcBorders>
              <w:left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队伍装备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填平补齐</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color w:val="auto"/>
                <w:kern w:val="0"/>
                <w:sz w:val="24"/>
                <w:szCs w:val="24"/>
                <w:highlight w:val="none"/>
                <w:lang w:bidi="ar"/>
              </w:rPr>
            </w:pPr>
            <w:r>
              <w:rPr>
                <w:rStyle w:val="7"/>
                <w:rFonts w:hint="default" w:ascii="Times New Roman" w:hAnsi="Times New Roman" w:eastAsia="仿宋_GB2312" w:cs="Times New Roman"/>
                <w:color w:val="auto"/>
                <w:kern w:val="0"/>
                <w:sz w:val="24"/>
                <w:szCs w:val="24"/>
                <w:highlight w:val="none"/>
                <w:lang w:bidi="ar"/>
              </w:rPr>
              <w:t>各级</w:t>
            </w:r>
          </w:p>
        </w:tc>
        <w:tc>
          <w:tcPr>
            <w:tcW w:w="1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参照《广东省市、县级突发急性传染病类卫生应急队伍建设工作指引（</w:t>
            </w:r>
            <w:r>
              <w:rPr>
                <w:rStyle w:val="8"/>
                <w:rFonts w:hint="default" w:ascii="Times New Roman" w:hAnsi="Times New Roman" w:eastAsia="仿宋_GB2312" w:cs="Times New Roman"/>
                <w:color w:val="auto"/>
                <w:kern w:val="0"/>
                <w:sz w:val="24"/>
                <w:szCs w:val="24"/>
                <w:highlight w:val="none"/>
                <w:lang w:bidi="ar"/>
              </w:rPr>
              <w:t>2018</w:t>
            </w:r>
            <w:r>
              <w:rPr>
                <w:rStyle w:val="7"/>
                <w:rFonts w:hint="default" w:ascii="Times New Roman" w:hAnsi="Times New Roman" w:eastAsia="仿宋_GB2312" w:cs="Times New Roman"/>
                <w:color w:val="auto"/>
                <w:kern w:val="0"/>
                <w:sz w:val="24"/>
                <w:szCs w:val="24"/>
                <w:highlight w:val="none"/>
                <w:lang w:bidi="ar"/>
              </w:rPr>
              <w:t>年版）》--突发急性传染病类卫生应急队伍装备标准，查漏补缺，填平补齐。</w:t>
            </w:r>
          </w:p>
        </w:tc>
      </w:tr>
      <w:tr>
        <w:tblPrEx>
          <w:tblLayout w:type="fixed"/>
          <w:tblCellMar>
            <w:top w:w="15" w:type="dxa"/>
            <w:left w:w="15" w:type="dxa"/>
            <w:bottom w:w="15" w:type="dxa"/>
            <w:right w:w="15" w:type="dxa"/>
          </w:tblCellMar>
        </w:tblPrEx>
        <w:trPr>
          <w:trHeight w:val="434" w:hRule="atLeast"/>
          <w:jc w:val="center"/>
        </w:trPr>
        <w:tc>
          <w:tcPr>
            <w:tcW w:w="1178"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cs="Times New Roman"/>
                <w:color w:val="auto"/>
                <w:sz w:val="24"/>
                <w:szCs w:val="24"/>
                <w:highlight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移动实验室</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储备</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市级</w:t>
            </w:r>
          </w:p>
        </w:tc>
        <w:tc>
          <w:tcPr>
            <w:tcW w:w="1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val="en-US" w:eastAsia="zh-CN" w:bidi="ar"/>
              </w:rPr>
              <w:t>将</w:t>
            </w:r>
            <w:r>
              <w:rPr>
                <w:rFonts w:hint="default" w:ascii="Times New Roman" w:hAnsi="Times New Roman" w:eastAsia="仿宋_GB2312" w:cs="Times New Roman"/>
                <w:color w:val="auto"/>
                <w:kern w:val="0"/>
                <w:sz w:val="24"/>
                <w:szCs w:val="24"/>
                <w:highlight w:val="none"/>
                <w:lang w:bidi="ar"/>
              </w:rPr>
              <w:t>移动生物安全二级防护</w:t>
            </w:r>
            <w:r>
              <w:rPr>
                <w:rFonts w:hint="default" w:ascii="Times New Roman" w:hAnsi="Times New Roman" w:eastAsia="仿宋_GB2312" w:cs="Times New Roman"/>
                <w:color w:val="auto"/>
                <w:kern w:val="0"/>
                <w:sz w:val="24"/>
                <w:szCs w:val="24"/>
                <w:highlight w:val="none"/>
                <w:lang w:eastAsia="zh-CN" w:bidi="ar"/>
              </w:rPr>
              <w:t>水平</w:t>
            </w:r>
            <w:r>
              <w:rPr>
                <w:rFonts w:hint="default" w:ascii="Times New Roman" w:hAnsi="Times New Roman" w:eastAsia="仿宋_GB2312" w:cs="Times New Roman"/>
                <w:color w:val="auto"/>
                <w:kern w:val="0"/>
                <w:sz w:val="24"/>
                <w:szCs w:val="24"/>
                <w:highlight w:val="none"/>
                <w:lang w:bidi="ar"/>
              </w:rPr>
              <w:t>实验室</w:t>
            </w:r>
            <w:r>
              <w:rPr>
                <w:rFonts w:hint="default" w:ascii="Times New Roman" w:hAnsi="Times New Roman" w:eastAsia="仿宋_GB2312" w:cs="Times New Roman"/>
                <w:color w:val="auto"/>
                <w:kern w:val="0"/>
                <w:sz w:val="24"/>
                <w:szCs w:val="24"/>
                <w:highlight w:val="none"/>
                <w:lang w:val="en-US" w:eastAsia="zh-CN" w:bidi="ar"/>
              </w:rPr>
              <w:t>纳入全省公共卫生应急物资储备目录</w:t>
            </w: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206B9"/>
    <w:rsid w:val="376206B9"/>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 w:val="32"/>
      <w:szCs w:val="24"/>
      <w:lang w:bidi="ar-SA"/>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11"/>
    <w:basedOn w:val="5"/>
    <w:qFormat/>
    <w:uiPriority w:val="0"/>
    <w:rPr>
      <w:rFonts w:hint="eastAsia" w:ascii="宋体" w:hAnsi="宋体" w:eastAsia="宋体" w:cs="宋体"/>
      <w:b/>
      <w:color w:val="000000"/>
      <w:sz w:val="24"/>
      <w:szCs w:val="24"/>
      <w:u w:val="none"/>
    </w:rPr>
  </w:style>
  <w:style w:type="character" w:customStyle="1" w:styleId="7">
    <w:name w:val="font41"/>
    <w:qFormat/>
    <w:uiPriority w:val="0"/>
    <w:rPr>
      <w:rFonts w:hint="eastAsia" w:ascii="宋体" w:hAnsi="宋体" w:eastAsia="宋体" w:cs="宋体"/>
      <w:color w:val="000000"/>
      <w:sz w:val="24"/>
      <w:szCs w:val="24"/>
      <w:u w:val="none"/>
    </w:rPr>
  </w:style>
  <w:style w:type="character" w:customStyle="1" w:styleId="8">
    <w:name w:val="font21"/>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2020-12-31T01:45:00Z</dcterms:created>
  <dc:creator>eva</dc:creator>
  <cp:lastModifiedBy>eva</cp:lastModifiedBy>
  <dcterms:modified xsi:type="dcterms:W3CDTF">2020-12-31T01:45:46Z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