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Lines="0" w:line="560" w:lineRule="exact"/>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附件</w:t>
      </w:r>
      <w:r>
        <w:rPr>
          <w:rFonts w:hint="eastAsia" w:ascii="Times New Roman" w:hAnsi="Times New Roman" w:eastAsia="黑体" w:cs="Times New Roman"/>
          <w:color w:val="auto"/>
          <w:szCs w:val="32"/>
          <w:highlight w:val="none"/>
          <w:lang w:val="en-US" w:eastAsia="zh-CN"/>
        </w:rPr>
        <w:t>1</w:t>
      </w:r>
      <w:r>
        <w:rPr>
          <w:rFonts w:hint="default" w:ascii="Times New Roman" w:hAnsi="Times New Roman" w:eastAsia="黑体" w:cs="Times New Roman"/>
          <w:color w:val="auto"/>
          <w:szCs w:val="32"/>
          <w:highlight w:val="none"/>
        </w:rPr>
        <w:t>-2</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62" w:beforeLines="20" w:after="234" w:afterLines="40" w:line="700" w:lineRule="exact"/>
        <w:jc w:val="center"/>
        <w:textAlignment w:val="auto"/>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疾病预防控制体系现代化建设项目单位任务明细表</w:t>
      </w:r>
    </w:p>
    <w:tbl>
      <w:tblPr>
        <w:tblStyle w:val="3"/>
        <w:tblW w:w="14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6"/>
        <w:gridCol w:w="915"/>
        <w:gridCol w:w="1212"/>
        <w:gridCol w:w="3185"/>
        <w:gridCol w:w="1149"/>
        <w:gridCol w:w="1116"/>
        <w:gridCol w:w="3458"/>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tblHeader/>
          <w:jc w:val="center"/>
        </w:trPr>
        <w:tc>
          <w:tcPr>
            <w:tcW w:w="776" w:type="dxa"/>
            <w:vMerge w:val="restart"/>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序号</w:t>
            </w:r>
          </w:p>
        </w:tc>
        <w:tc>
          <w:tcPr>
            <w:tcW w:w="915" w:type="dxa"/>
            <w:vMerge w:val="restart"/>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val="en-US" w:eastAsia="zh-CN" w:bidi="ar"/>
              </w:rPr>
            </w:pPr>
            <w:r>
              <w:rPr>
                <w:rStyle w:val="5"/>
                <w:rFonts w:hint="default" w:ascii="Times New Roman" w:hAnsi="Times New Roman" w:eastAsia="黑体" w:cs="Times New Roman"/>
                <w:b w:val="0"/>
                <w:bCs/>
                <w:color w:val="auto"/>
                <w:highlight w:val="none"/>
                <w:lang w:val="en-US" w:eastAsia="zh-CN" w:bidi="ar"/>
              </w:rPr>
              <w:t>级别</w:t>
            </w:r>
          </w:p>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分类</w:t>
            </w:r>
          </w:p>
        </w:tc>
        <w:tc>
          <w:tcPr>
            <w:tcW w:w="1212" w:type="dxa"/>
            <w:vMerge w:val="restart"/>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地区</w:t>
            </w:r>
          </w:p>
        </w:tc>
        <w:tc>
          <w:tcPr>
            <w:tcW w:w="3185" w:type="dxa"/>
            <w:vMerge w:val="restart"/>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机构名称</w:t>
            </w:r>
          </w:p>
        </w:tc>
        <w:tc>
          <w:tcPr>
            <w:tcW w:w="2265" w:type="dxa"/>
            <w:gridSpan w:val="2"/>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核酸检测量（人份/天）</w:t>
            </w:r>
          </w:p>
        </w:tc>
        <w:tc>
          <w:tcPr>
            <w:tcW w:w="3458" w:type="dxa"/>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val="en-US" w:eastAsia="zh-CN" w:bidi="ar"/>
              </w:rPr>
            </w:pPr>
            <w:r>
              <w:rPr>
                <w:rStyle w:val="5"/>
                <w:rFonts w:hint="default" w:ascii="Times New Roman" w:hAnsi="Times New Roman" w:eastAsia="黑体" w:cs="Times New Roman"/>
                <w:b w:val="0"/>
                <w:bCs/>
                <w:color w:val="auto"/>
                <w:highlight w:val="none"/>
                <w:lang w:val="en-US" w:eastAsia="zh-CN" w:bidi="ar"/>
              </w:rPr>
              <w:t>实验室生物安全防护水平</w:t>
            </w:r>
          </w:p>
        </w:tc>
        <w:tc>
          <w:tcPr>
            <w:tcW w:w="2703" w:type="dxa"/>
            <w:vMerge w:val="restart"/>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实验室检测达到能力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44" w:hRule="atLeast"/>
          <w:tblHeader/>
          <w:jc w:val="center"/>
        </w:trPr>
        <w:tc>
          <w:tcPr>
            <w:tcW w:w="776" w:type="dxa"/>
            <w:vMerge w:val="continue"/>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915" w:type="dxa"/>
            <w:vMerge w:val="continue"/>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1212" w:type="dxa"/>
            <w:vMerge w:val="continue"/>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3185" w:type="dxa"/>
            <w:vMerge w:val="continue"/>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1149" w:type="dxa"/>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现状</w:t>
            </w:r>
          </w:p>
        </w:tc>
        <w:tc>
          <w:tcPr>
            <w:tcW w:w="1116" w:type="dxa"/>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需达到</w:t>
            </w:r>
            <w:r>
              <w:rPr>
                <w:rStyle w:val="5"/>
                <w:rFonts w:hint="default" w:ascii="Times New Roman" w:hAnsi="Times New Roman" w:eastAsia="黑体" w:cs="Times New Roman"/>
                <w:b w:val="0"/>
                <w:bCs/>
                <w:color w:val="auto"/>
                <w:highlight w:val="none"/>
                <w:lang w:val="en-US" w:eastAsia="zh-CN" w:bidi="ar"/>
              </w:rPr>
              <w:br w:type="textWrapping"/>
            </w:r>
            <w:r>
              <w:rPr>
                <w:rStyle w:val="5"/>
                <w:rFonts w:hint="default" w:ascii="Times New Roman" w:hAnsi="Times New Roman" w:eastAsia="黑体" w:cs="Times New Roman"/>
                <w:b w:val="0"/>
                <w:bCs/>
                <w:color w:val="auto"/>
                <w:highlight w:val="none"/>
                <w:lang w:val="en-US" w:eastAsia="zh-CN" w:bidi="ar"/>
              </w:rPr>
              <w:t>最高量</w:t>
            </w:r>
          </w:p>
        </w:tc>
        <w:tc>
          <w:tcPr>
            <w:tcW w:w="3458" w:type="dxa"/>
            <w:noWrap w:val="0"/>
            <w:vAlign w:val="center"/>
          </w:tcPr>
          <w:p>
            <w:pPr>
              <w:widowControl/>
              <w:spacing w:line="300" w:lineRule="exact"/>
              <w:jc w:val="center"/>
              <w:textAlignment w:val="center"/>
              <w:rPr>
                <w:rStyle w:val="5"/>
                <w:rFonts w:hint="default" w:ascii="Times New Roman" w:hAnsi="Times New Roman" w:eastAsia="黑体" w:cs="Times New Roman"/>
                <w:b w:val="0"/>
                <w:bCs/>
                <w:color w:val="auto"/>
                <w:highlight w:val="none"/>
                <w:lang w:bidi="ar"/>
              </w:rPr>
            </w:pPr>
            <w:r>
              <w:rPr>
                <w:rStyle w:val="5"/>
                <w:rFonts w:hint="default" w:ascii="Times New Roman" w:hAnsi="Times New Roman" w:eastAsia="黑体" w:cs="Times New Roman"/>
                <w:b w:val="0"/>
                <w:bCs/>
                <w:color w:val="auto"/>
                <w:highlight w:val="none"/>
                <w:lang w:val="en-US" w:eastAsia="zh-CN" w:bidi="ar"/>
              </w:rPr>
              <w:t>需达到标准</w:t>
            </w:r>
          </w:p>
        </w:tc>
        <w:tc>
          <w:tcPr>
            <w:tcW w:w="2703" w:type="dxa"/>
            <w:vMerge w:val="continue"/>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合计</w:t>
            </w:r>
          </w:p>
        </w:tc>
        <w:tc>
          <w:tcPr>
            <w:tcW w:w="915" w:type="dxa"/>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1212" w:type="dxa"/>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3185" w:type="dxa"/>
            <w:noWrap w:val="0"/>
            <w:vAlign w:val="center"/>
          </w:tcPr>
          <w:p>
            <w:pPr>
              <w:spacing w:line="240" w:lineRule="exact"/>
              <w:jc w:val="center"/>
              <w:rPr>
                <w:rFonts w:hint="default" w:ascii="Times New Roman" w:hAnsi="Times New Roman" w:eastAsia="仿宋_GB2312" w:cs="Times New Roman"/>
                <w:b/>
                <w:i w:val="0"/>
                <w:color w:val="auto"/>
                <w:sz w:val="22"/>
                <w:szCs w:val="22"/>
                <w:highlight w:val="none"/>
                <w:u w:val="none"/>
              </w:rPr>
            </w:pP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19059</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69870</w:t>
            </w:r>
          </w:p>
        </w:tc>
        <w:tc>
          <w:tcPr>
            <w:tcW w:w="3458" w:type="dxa"/>
            <w:noWrap w:val="0"/>
            <w:vAlign w:val="center"/>
          </w:tcPr>
          <w:p>
            <w:pPr>
              <w:spacing w:line="240" w:lineRule="exact"/>
              <w:jc w:val="center"/>
              <w:rPr>
                <w:rFonts w:hint="eastAsia" w:ascii="仿宋_GB2312" w:hAnsi="仿宋_GB2312" w:eastAsia="仿宋_GB2312" w:cs="仿宋_GB2312"/>
                <w:b/>
                <w:i w:val="0"/>
                <w:color w:val="auto"/>
                <w:sz w:val="22"/>
                <w:szCs w:val="22"/>
                <w:highlight w:val="none"/>
                <w:u w:val="none"/>
              </w:rPr>
            </w:pPr>
          </w:p>
        </w:tc>
        <w:tc>
          <w:tcPr>
            <w:tcW w:w="2703" w:type="dxa"/>
            <w:noWrap w:val="0"/>
            <w:vAlign w:val="center"/>
          </w:tcPr>
          <w:p>
            <w:pPr>
              <w:spacing w:line="240" w:lineRule="exact"/>
              <w:jc w:val="center"/>
              <w:rPr>
                <w:rFonts w:hint="eastAsia" w:ascii="仿宋_GB2312" w:hAnsi="仿宋_GB2312" w:eastAsia="仿宋_GB2312" w:cs="仿宋_GB2312"/>
                <w:b/>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一</w:t>
            </w:r>
          </w:p>
        </w:tc>
        <w:tc>
          <w:tcPr>
            <w:tcW w:w="91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省级</w:t>
            </w:r>
          </w:p>
        </w:tc>
        <w:tc>
          <w:tcPr>
            <w:tcW w:w="1212" w:type="dxa"/>
            <w:noWrap w:val="0"/>
            <w:vAlign w:val="center"/>
          </w:tcPr>
          <w:p>
            <w:pPr>
              <w:spacing w:line="240" w:lineRule="exact"/>
              <w:rPr>
                <w:rFonts w:hint="default" w:ascii="Times New Roman" w:hAnsi="Times New Roman" w:eastAsia="仿宋_GB2312" w:cs="Times New Roman"/>
                <w:i w:val="0"/>
                <w:color w:val="auto"/>
                <w:sz w:val="22"/>
                <w:szCs w:val="22"/>
                <w:highlight w:val="none"/>
                <w:u w:val="none"/>
              </w:rPr>
            </w:pP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1家</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400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5000</w:t>
            </w:r>
          </w:p>
        </w:tc>
        <w:tc>
          <w:tcPr>
            <w:tcW w:w="3458" w:type="dxa"/>
            <w:noWrap w:val="0"/>
            <w:vAlign w:val="center"/>
          </w:tcPr>
          <w:p>
            <w:pPr>
              <w:spacing w:line="240" w:lineRule="exact"/>
              <w:jc w:val="center"/>
              <w:rPr>
                <w:rFonts w:hint="eastAsia" w:ascii="仿宋_GB2312" w:hAnsi="仿宋_GB2312" w:eastAsia="仿宋_GB2312" w:cs="仿宋_GB2312"/>
                <w:i w:val="0"/>
                <w:color w:val="auto"/>
                <w:sz w:val="22"/>
                <w:szCs w:val="22"/>
                <w:highlight w:val="none"/>
                <w:u w:val="none"/>
              </w:rPr>
            </w:pPr>
          </w:p>
        </w:tc>
        <w:tc>
          <w:tcPr>
            <w:tcW w:w="2703" w:type="dxa"/>
            <w:noWrap w:val="0"/>
            <w:vAlign w:val="center"/>
          </w:tcPr>
          <w:p>
            <w:pPr>
              <w:spacing w:line="240" w:lineRule="exact"/>
              <w:jc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56"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w:t>
            </w:r>
          </w:p>
        </w:tc>
        <w:tc>
          <w:tcPr>
            <w:tcW w:w="91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省级</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广东省</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广东省疾病预防控制中心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w:t>
            </w:r>
          </w:p>
          <w:p>
            <w:pPr>
              <w:keepNext w:val="0"/>
              <w:keepLines w:val="0"/>
              <w:widowControl/>
              <w:suppressLineNumbers w:val="0"/>
              <w:spacing w:line="24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p>
        </w:tc>
        <w:tc>
          <w:tcPr>
            <w:tcW w:w="2703"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outlineLvl w:val="9"/>
              <w:rPr>
                <w:rFonts w:hint="eastAsia" w:ascii="仿宋_GB2312" w:hAnsi="仿宋_GB2312" w:eastAsia="仿宋_GB2312" w:cs="仿宋_GB2312"/>
                <w:color w:val="auto"/>
                <w:kern w:val="0"/>
                <w:sz w:val="22"/>
                <w:szCs w:val="22"/>
                <w:highlight w:val="none"/>
                <w:lang w:val="en-US" w:eastAsia="zh-CN" w:bidi="ar-SA"/>
              </w:rPr>
            </w:pPr>
            <w:r>
              <w:rPr>
                <w:rFonts w:hint="eastAsia" w:ascii="仿宋_GB2312" w:hAnsi="仿宋_GB2312" w:eastAsia="仿宋_GB2312" w:cs="仿宋_GB2312"/>
                <w:color w:val="auto"/>
                <w:kern w:val="0"/>
                <w:sz w:val="22"/>
                <w:szCs w:val="22"/>
                <w:highlight w:val="none"/>
                <w:lang w:val="en-US" w:eastAsia="zh-CN" w:bidi="ar-SA"/>
              </w:rPr>
              <w:t>具备传染病快速排查和检测“一锤定音”能力（人员暴露到发病的全“窗口期”检测能力、高通量传染病多病原筛查能力，宏基因组测序、生物信息学分析发现和鉴定新病原的能力）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二</w:t>
            </w:r>
          </w:p>
        </w:tc>
        <w:tc>
          <w:tcPr>
            <w:tcW w:w="91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地市级</w:t>
            </w:r>
          </w:p>
        </w:tc>
        <w:tc>
          <w:tcPr>
            <w:tcW w:w="1212" w:type="dxa"/>
            <w:noWrap w:val="0"/>
            <w:vAlign w:val="center"/>
          </w:tcPr>
          <w:p>
            <w:pPr>
              <w:spacing w:line="240" w:lineRule="exact"/>
              <w:rPr>
                <w:rFonts w:hint="default" w:ascii="Times New Roman" w:hAnsi="Times New Roman" w:eastAsia="仿宋_GB2312" w:cs="Times New Roman"/>
                <w:i w:val="0"/>
                <w:color w:val="auto"/>
                <w:sz w:val="22"/>
                <w:szCs w:val="22"/>
                <w:highlight w:val="none"/>
                <w:u w:val="none"/>
              </w:rPr>
            </w:pP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21家</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7944</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26000</w:t>
            </w:r>
          </w:p>
        </w:tc>
        <w:tc>
          <w:tcPr>
            <w:tcW w:w="3458" w:type="dxa"/>
            <w:noWrap w:val="0"/>
            <w:vAlign w:val="center"/>
          </w:tcPr>
          <w:p>
            <w:pPr>
              <w:spacing w:line="240" w:lineRule="exact"/>
              <w:jc w:val="center"/>
              <w:rPr>
                <w:rFonts w:hint="eastAsia" w:ascii="仿宋_GB2312" w:hAnsi="仿宋_GB2312" w:eastAsia="仿宋_GB2312" w:cs="仿宋_GB2312"/>
                <w:i w:val="0"/>
                <w:color w:val="auto"/>
                <w:sz w:val="22"/>
                <w:szCs w:val="22"/>
                <w:highlight w:val="none"/>
                <w:u w:val="none"/>
              </w:rPr>
            </w:pPr>
          </w:p>
        </w:tc>
        <w:tc>
          <w:tcPr>
            <w:tcW w:w="2703" w:type="dxa"/>
            <w:noWrap w:val="0"/>
            <w:vAlign w:val="center"/>
          </w:tcPr>
          <w:p>
            <w:pPr>
              <w:spacing w:line="240" w:lineRule="exact"/>
              <w:jc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重点口岸等地市（6个）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生物安全三级防护水平（共享）</w:t>
            </w:r>
          </w:p>
        </w:tc>
        <w:tc>
          <w:tcPr>
            <w:tcW w:w="2703" w:type="dxa"/>
            <w:vMerge w:val="restart"/>
            <w:noWrap w:val="0"/>
            <w:vAlign w:val="center"/>
          </w:tcPr>
          <w:p>
            <w:pPr>
              <w:keepNext w:val="0"/>
              <w:keepLines w:val="0"/>
              <w:widowControl/>
              <w:suppressLineNumbers w:val="0"/>
              <w:spacing w:line="240" w:lineRule="exact"/>
              <w:jc w:val="left"/>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color w:val="auto"/>
                <w:kern w:val="0"/>
                <w:sz w:val="22"/>
                <w:szCs w:val="22"/>
                <w:highlight w:val="none"/>
              </w:rPr>
              <w:t>具备</w:t>
            </w:r>
            <w:r>
              <w:rPr>
                <w:rFonts w:hint="eastAsia" w:ascii="仿宋_GB2312" w:hAnsi="仿宋_GB2312" w:eastAsia="仿宋_GB2312" w:cs="仿宋_GB2312"/>
                <w:color w:val="auto"/>
                <w:kern w:val="0"/>
                <w:sz w:val="22"/>
                <w:szCs w:val="22"/>
                <w:highlight w:val="none"/>
                <w:lang w:val="en-US" w:eastAsia="zh-CN"/>
              </w:rPr>
              <w:t>高致病性</w:t>
            </w:r>
            <w:r>
              <w:rPr>
                <w:rFonts w:hint="eastAsia" w:ascii="仿宋_GB2312" w:hAnsi="仿宋_GB2312" w:eastAsia="仿宋_GB2312" w:cs="仿宋_GB2312"/>
                <w:color w:val="auto"/>
                <w:kern w:val="0"/>
                <w:sz w:val="22"/>
                <w:szCs w:val="22"/>
                <w:highlight w:val="none"/>
              </w:rPr>
              <w:t>病原体分离培养、全基因组测序、</w:t>
            </w:r>
            <w:r>
              <w:rPr>
                <w:rFonts w:hint="eastAsia" w:ascii="仿宋_GB2312" w:hAnsi="仿宋_GB2312" w:eastAsia="仿宋_GB2312" w:cs="仿宋_GB2312"/>
                <w:color w:val="auto"/>
                <w:kern w:val="0"/>
                <w:sz w:val="22"/>
                <w:szCs w:val="22"/>
                <w:highlight w:val="none"/>
                <w:lang w:eastAsia="zh-CN"/>
              </w:rPr>
              <w:t>高通量</w:t>
            </w:r>
            <w:r>
              <w:rPr>
                <w:rFonts w:hint="eastAsia" w:ascii="仿宋_GB2312" w:hAnsi="仿宋_GB2312" w:eastAsia="仿宋_GB2312" w:cs="仿宋_GB2312"/>
                <w:color w:val="auto"/>
                <w:kern w:val="0"/>
                <w:sz w:val="22"/>
                <w:szCs w:val="22"/>
                <w:highlight w:val="none"/>
              </w:rPr>
              <w:t>核酸检测能</w:t>
            </w:r>
            <w:r>
              <w:rPr>
                <w:rFonts w:hint="eastAsia" w:ascii="仿宋_GB2312" w:hAnsi="仿宋_GB2312" w:eastAsia="仿宋_GB2312" w:cs="仿宋_GB2312"/>
                <w:color w:val="auto"/>
                <w:kern w:val="0"/>
                <w:sz w:val="22"/>
                <w:szCs w:val="22"/>
                <w:highlight w:val="none"/>
                <w:lang w:val="en-US" w:eastAsia="zh-CN"/>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w:t>
            </w:r>
          </w:p>
        </w:tc>
        <w:tc>
          <w:tcPr>
            <w:tcW w:w="2703" w:type="dxa"/>
            <w:vMerge w:val="continue"/>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珠海市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珠海市疾病预防控制中心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生物安全三级防护水平（共享）</w:t>
            </w:r>
          </w:p>
        </w:tc>
        <w:tc>
          <w:tcPr>
            <w:tcW w:w="2703" w:type="dxa"/>
            <w:vMerge w:val="continue"/>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280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生物安全三级防护水平（共享）</w:t>
            </w:r>
          </w:p>
        </w:tc>
        <w:tc>
          <w:tcPr>
            <w:tcW w:w="2703" w:type="dxa"/>
            <w:vMerge w:val="continue"/>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188</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生物安全三级防护水平（共享）</w:t>
            </w:r>
          </w:p>
        </w:tc>
        <w:tc>
          <w:tcPr>
            <w:tcW w:w="2703" w:type="dxa"/>
            <w:vMerge w:val="continue"/>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生物安全三级防护水平（共享）</w:t>
            </w:r>
          </w:p>
        </w:tc>
        <w:tc>
          <w:tcPr>
            <w:tcW w:w="2703" w:type="dxa"/>
            <w:vMerge w:val="continue"/>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人口数500万以上（2个）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450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lang w:val="en-US"/>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东莞市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东莞市疾病预防控制中心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人口数100-500万（9个）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中山市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中山市疾病预防控制中心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350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阳江市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阳江市疾病预防控制中心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94</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揭阳市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揭阳市疾病预防控制中心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人口数100万以下（4个）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188</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汕尾市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汕尾市疾病预防控制中心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94</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82"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云浮市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云浮市疾病预防控制中心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加强型生物安全二级防护水平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具备高通量核酸检测能力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4" w:hRule="exac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四</w:t>
            </w:r>
          </w:p>
        </w:tc>
        <w:tc>
          <w:tcPr>
            <w:tcW w:w="91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县</w:t>
            </w:r>
            <w:r>
              <w:rPr>
                <w:rFonts w:hint="eastAsia" w:ascii="Times New Roman" w:hAnsi="Times New Roman" w:eastAsia="仿宋_GB2312" w:cs="Times New Roman"/>
                <w:b/>
                <w:i w:val="0"/>
                <w:color w:val="auto"/>
                <w:kern w:val="0"/>
                <w:sz w:val="22"/>
                <w:szCs w:val="22"/>
                <w:highlight w:val="none"/>
                <w:u w:val="none"/>
                <w:lang w:val="en-US" w:eastAsia="zh-CN" w:bidi="ar"/>
              </w:rPr>
              <w:t>（市、</w:t>
            </w:r>
            <w:r>
              <w:rPr>
                <w:rFonts w:hint="default" w:ascii="Times New Roman" w:hAnsi="Times New Roman" w:eastAsia="仿宋_GB2312" w:cs="Times New Roman"/>
                <w:b/>
                <w:i w:val="0"/>
                <w:color w:val="auto"/>
                <w:kern w:val="0"/>
                <w:sz w:val="22"/>
                <w:szCs w:val="22"/>
                <w:highlight w:val="none"/>
                <w:u w:val="none"/>
                <w:lang w:val="en-US" w:eastAsia="zh-CN" w:bidi="ar"/>
              </w:rPr>
              <w:t>区</w:t>
            </w:r>
            <w:r>
              <w:rPr>
                <w:rFonts w:hint="eastAsia" w:ascii="Times New Roman" w:hAnsi="Times New Roman" w:eastAsia="仿宋_GB2312" w:cs="Times New Roman"/>
                <w:b/>
                <w:i w:val="0"/>
                <w:color w:val="auto"/>
                <w:kern w:val="0"/>
                <w:sz w:val="22"/>
                <w:szCs w:val="22"/>
                <w:highlight w:val="none"/>
                <w:u w:val="none"/>
                <w:lang w:val="en-US" w:eastAsia="zh-CN" w:bidi="ar"/>
              </w:rPr>
              <w:t>）</w:t>
            </w:r>
            <w:r>
              <w:rPr>
                <w:rFonts w:hint="default" w:ascii="Times New Roman" w:hAnsi="Times New Roman" w:eastAsia="仿宋_GB2312" w:cs="Times New Roman"/>
                <w:b/>
                <w:i w:val="0"/>
                <w:color w:val="auto"/>
                <w:kern w:val="0"/>
                <w:sz w:val="22"/>
                <w:szCs w:val="22"/>
                <w:highlight w:val="none"/>
                <w:u w:val="none"/>
                <w:lang w:val="en-US" w:eastAsia="zh-CN" w:bidi="ar"/>
              </w:rPr>
              <w:t>级</w:t>
            </w:r>
          </w:p>
        </w:tc>
        <w:tc>
          <w:tcPr>
            <w:tcW w:w="1212" w:type="dxa"/>
            <w:noWrap w:val="0"/>
            <w:vAlign w:val="center"/>
          </w:tcPr>
          <w:p>
            <w:pPr>
              <w:spacing w:line="240" w:lineRule="exact"/>
              <w:rPr>
                <w:rFonts w:hint="default" w:ascii="Times New Roman" w:hAnsi="Times New Roman" w:eastAsia="仿宋_GB2312" w:cs="Times New Roman"/>
                <w:i w:val="0"/>
                <w:color w:val="auto"/>
                <w:sz w:val="22"/>
                <w:szCs w:val="22"/>
                <w:highlight w:val="none"/>
                <w:u w:val="none"/>
              </w:rPr>
            </w:pP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1</w:t>
            </w:r>
            <w:r>
              <w:rPr>
                <w:rFonts w:hint="eastAsia" w:ascii="Times New Roman" w:hAnsi="Times New Roman" w:cs="Times New Roman"/>
                <w:b/>
                <w:i w:val="0"/>
                <w:color w:val="auto"/>
                <w:kern w:val="0"/>
                <w:sz w:val="22"/>
                <w:szCs w:val="22"/>
                <w:highlight w:val="none"/>
                <w:u w:val="none"/>
                <w:lang w:val="en-US" w:eastAsia="zh-CN" w:bidi="ar"/>
              </w:rPr>
              <w:t>01</w:t>
            </w:r>
            <w:r>
              <w:rPr>
                <w:rFonts w:hint="default" w:ascii="Times New Roman" w:hAnsi="Times New Roman" w:eastAsia="仿宋_GB2312" w:cs="Times New Roman"/>
                <w:b/>
                <w:i w:val="0"/>
                <w:color w:val="auto"/>
                <w:kern w:val="0"/>
                <w:sz w:val="22"/>
                <w:szCs w:val="22"/>
                <w:highlight w:val="none"/>
                <w:u w:val="none"/>
                <w:lang w:val="en-US" w:eastAsia="zh-CN" w:bidi="ar"/>
              </w:rPr>
              <w:t>家</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10715</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b/>
                <w:i w:val="0"/>
                <w:color w:val="auto"/>
                <w:sz w:val="22"/>
                <w:szCs w:val="22"/>
                <w:highlight w:val="none"/>
                <w:u w:val="none"/>
              </w:rPr>
            </w:pPr>
            <w:r>
              <w:rPr>
                <w:rFonts w:hint="default" w:ascii="Times New Roman" w:hAnsi="Times New Roman" w:eastAsia="仿宋_GB2312" w:cs="Times New Roman"/>
                <w:b/>
                <w:i w:val="0"/>
                <w:color w:val="auto"/>
                <w:kern w:val="0"/>
                <w:sz w:val="22"/>
                <w:szCs w:val="22"/>
                <w:highlight w:val="none"/>
                <w:u w:val="none"/>
                <w:lang w:val="en-US" w:eastAsia="zh-CN" w:bidi="ar"/>
              </w:rPr>
              <w:t>38870</w:t>
            </w:r>
          </w:p>
        </w:tc>
        <w:tc>
          <w:tcPr>
            <w:tcW w:w="3458" w:type="dxa"/>
            <w:noWrap w:val="0"/>
            <w:vAlign w:val="center"/>
          </w:tcPr>
          <w:p>
            <w:pPr>
              <w:spacing w:line="240" w:lineRule="exact"/>
              <w:jc w:val="center"/>
              <w:rPr>
                <w:rFonts w:hint="eastAsia" w:ascii="仿宋_GB2312" w:hAnsi="仿宋_GB2312" w:eastAsia="仿宋_GB2312" w:cs="仿宋_GB2312"/>
                <w:i w:val="0"/>
                <w:color w:val="auto"/>
                <w:sz w:val="22"/>
                <w:szCs w:val="22"/>
                <w:highlight w:val="none"/>
                <w:u w:val="none"/>
              </w:rPr>
            </w:pPr>
          </w:p>
        </w:tc>
        <w:tc>
          <w:tcPr>
            <w:tcW w:w="2703" w:type="dxa"/>
            <w:noWrap w:val="0"/>
            <w:vAlign w:val="center"/>
          </w:tcPr>
          <w:p>
            <w:pPr>
              <w:spacing w:line="240" w:lineRule="exact"/>
              <w:jc w:val="center"/>
              <w:rPr>
                <w:rFonts w:hint="eastAsia" w:ascii="仿宋_GB2312" w:hAnsi="仿宋_GB2312" w:eastAsia="仿宋_GB2312" w:cs="仿宋_GB2312"/>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27" w:hRule="atLeast"/>
          <w:jc w:val="center"/>
        </w:trPr>
        <w:tc>
          <w:tcPr>
            <w:tcW w:w="14514"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i w:val="0"/>
                <w:color w:val="auto"/>
                <w:sz w:val="22"/>
                <w:szCs w:val="22"/>
                <w:highlight w:val="none"/>
                <w:u w:val="none"/>
              </w:rPr>
            </w:pPr>
            <w:r>
              <w:rPr>
                <w:rFonts w:hint="default" w:ascii="Times New Roman" w:hAnsi="Times New Roman" w:eastAsia="仿宋_GB2312" w:cs="Times New Roman"/>
                <w:b/>
                <w:bCs/>
                <w:i w:val="0"/>
                <w:color w:val="auto"/>
                <w:sz w:val="22"/>
                <w:szCs w:val="22"/>
                <w:highlight w:val="none"/>
                <w:u w:val="none"/>
                <w:lang w:val="en-US" w:eastAsia="zh-CN"/>
              </w:rPr>
              <w:t>（一）已设立疾控中心的县（市、区）（101个）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人口数100万以上（31个）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越秀区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广州市越秀区疾病预防控制中心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376</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海珠区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广州市海珠区疾病预防控制中心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天河区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广州市天河区疾病预防控制中心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白云区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广州市白云区疾病预防控制中心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黄埔区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广州市黄埔区疾病预防控制中心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番禺区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广州市番禺区疾病预防控制中心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花都区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广州市花都区疾病预防控制中心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lang w:val="en-US" w:eastAsia="zh-CN"/>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增城区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广州市增城区疾病预防控制中心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罗湖区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深圳市罗湖区疾病预防控制中心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福田区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深圳市福田区疾病预防控制中心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南山区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深圳市南山区疾病预防控制中心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宝安区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深圳市宝安区疾病预防控制中心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240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龙岗</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深圳市龙岗疾病预防控制中心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光明新区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深圳市光明新区疾病预防控制中心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龙华区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深圳市龙华区疾病预防控制中心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潮阳区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汕头市潮阳区疾病预防控制中心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6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潮南区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汕头市潮南区疾病预防控制中心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佛山市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禅城区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佛山市禅城区疾病预防控制中心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佛山市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南海区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佛山市南海区疾病预防控制中心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270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佛山市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顺德区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佛山市顺德区疾病预防控制中心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270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惠州市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博罗县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惠州市博罗县疾病预防控制中心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汕尾市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陆丰市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汕尾市陆丰市疾病预防控制中心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廉江市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湛江市廉江市疾病预防控制中心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雷州市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湛江市雷州市疾病预防控制中心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茂名市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电白区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茂名市电白区疾病预防控制中心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茂名市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高州市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茂名市高州市疾病预防控制中心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茂名市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化州市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茂名市化州市疾病预防控制中心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茂名市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信宜市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茂名市信宜市疾病预防控制中心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潮州市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潮安区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潮州市潮安区疾病预防控制中心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揭阳市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惠来县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揭阳市惠来县疾病预防控制中心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揭阳市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普宁市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揭阳市普宁市疾病预防控制中心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32</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人口数50-100万（33个）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荔湾区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广州市荔湾区疾病预防控制中心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560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560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南沙区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广州市南沙区疾病预防控制中心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广州市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从化区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广州市从化区疾病预防控制中心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坪山区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深圳市坪山区疾病预防控制中心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260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金平区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汕头市金平区疾病预防控制中心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澄海区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汕头市澄海区疾病预防控制中心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佛山市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三水区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佛山市三水区疾病预防控制中心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紫金县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河源市紫金县疾病预防控制中心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470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470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龙川县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河源市龙川县疾病预防控制中心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94</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五华县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梅州市五华县疾病预防控制中心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兴宁市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梅州市兴宁市疾病预防控制中心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惠州市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惠阳区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惠州市惠阳区疾病预防控制中心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32</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惠州市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惠东县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惠州市惠东县疾病预防控制中心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60"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汕尾市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海丰县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汕尾市海丰县疾病预防控制中心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270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新会区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江门市新会区疾病预防控制中心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台山市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江门市台山市疾病预防控制中心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开平市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江门市开平市疾病预防控制中心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鹤山市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江门市鹤山市疾病预防控制中心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阳江市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阳春市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阳江市阳春市疾病预防控制中心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遂溪县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湛江市遂溪县疾病预防控制中心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徐闻县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湛江市徐闻县疾病预防控制中心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吴川市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湛江市吴川市疾病预防控制中心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茂名市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茂南区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茂名市茂南区疾病预防控制中心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高要区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肇庆市高要区疾病预防控制中心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怀集县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肇庆市怀集县疾病预防控制中心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四会市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肇庆市四会市疾病预防控制中心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清新区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清远市清新区疾病预防控制中心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60"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59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清城区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清远市清城区疾病预防控制中心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英德市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清远市英德市疾病预防控制中心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潮州市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饶平县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潮州市饶平县疾病预防控制中心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揭阳市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揭东区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揭阳市揭东区疾病预防控制中心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揭阳市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揭西县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揭阳市揭西县疾病预防控制中心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64</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云浮市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罗定市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云浮市罗定市疾病预防控制中心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188</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65</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人口数30-50万（23个）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龙湖区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汕头市龙湖区疾病预防控制中心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翁源县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韶关市翁源县疾病预防控制中心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乐昌市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韶关市乐昌市疾病预防控制中心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南雄市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韶关市南雄市疾病预防控制中心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69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佛山市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高明区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佛山市高明区疾病预防控制中心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连平县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河源市连平县疾病预防控制中心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188</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和平县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河源市和平县疾病预防控制中心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东源县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河源市东源县疾病预防控制中心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188</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6"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梅县区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梅州市梅县区疾病预防控制中心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大埔县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梅州市大埔县疾病预防控制中心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丰顺县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梅州市丰顺县疾病预防控制中心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惠州市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龙门县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惠州市龙门县疾病预防控制中心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恩平市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江门市恩平市疾病预防控制中心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180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阳江市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阳西县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阳江市阳西县疾病预防控制中心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79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阳江市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阳东区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阳江市阳东区疾病预防控制中心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广宁县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肇庆市广宁县疾病预防控制中心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封开县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肇庆市封开县疾病预防控制中心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德庆县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肇庆市德庆县疾病预防控制中心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佛冈县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清远市佛冈县疾病预防控制中心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阳山县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清远市阳山县疾病预防控制中心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清远市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连州市</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清远市连州市疾病预防控制中心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云浮市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新兴县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云浮市新兴县疾病预防控制中心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10"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云浮市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郁南县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云浮市郁南县疾病预防控制中心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54"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88</w:t>
            </w:r>
          </w:p>
        </w:tc>
        <w:tc>
          <w:tcPr>
            <w:tcW w:w="915" w:type="dxa"/>
            <w:vMerge w:val="restart"/>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人口数30万以下（</w:t>
            </w:r>
            <w:r>
              <w:rPr>
                <w:rFonts w:hint="default" w:ascii="Times New Roman" w:hAnsi="Times New Roman" w:cs="Times New Roman"/>
                <w:i w:val="0"/>
                <w:color w:val="auto"/>
                <w:kern w:val="0"/>
                <w:sz w:val="22"/>
                <w:szCs w:val="22"/>
                <w:highlight w:val="none"/>
                <w:u w:val="none"/>
                <w:lang w:val="en-US" w:eastAsia="zh-CN" w:bidi="ar"/>
              </w:rPr>
              <w:t>1</w:t>
            </w:r>
            <w:r>
              <w:rPr>
                <w:rFonts w:hint="default" w:ascii="Times New Roman" w:hAnsi="Times New Roman" w:eastAsia="仿宋_GB2312" w:cs="Times New Roman"/>
                <w:i w:val="0"/>
                <w:color w:val="auto"/>
                <w:kern w:val="0"/>
                <w:sz w:val="22"/>
                <w:szCs w:val="22"/>
                <w:highlight w:val="none"/>
                <w:u w:val="none"/>
                <w:lang w:val="en-US" w:eastAsia="zh-CN" w:bidi="ar"/>
              </w:rPr>
              <w:t>4个）</w:t>
            </w: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深圳市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盐田区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深圳市盐田区疾病预防控制中心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240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240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jc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89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濠江区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汕头市濠江区疾病预防控制中心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汕头市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南澳县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汕头市南澳县疾病预防控制中心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曲江区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韶关市曲江区疾病预防控制中心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92</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始兴县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韶关市始兴县疾病预防控制中心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93</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仁化县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韶关市仁化县疾病预防控制中心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9"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94</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韶关市乳源瑶族自治县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韶关市乳源瑶族自治县疾病预防控制中心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95</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新丰县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韶关市新丰县疾病预防控制中心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93</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96</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蕉岭县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梅州市蕉岭县疾病预防控制中心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97</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平远县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梅州市平远县疾病预防控制中心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98</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汕尾市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陆河县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汕尾市陆河县疾病预防控制中心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0"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99</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清远市连山壮族瑶族自治县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清远市连山壮族瑶族自治县疾病预防控制中心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100</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清远市连南瑶族自治县</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清远市连南瑶族自治县疾病预防控制中心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0</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47" w:hRule="atLeast"/>
          <w:jc w:val="center"/>
        </w:trPr>
        <w:tc>
          <w:tcPr>
            <w:tcW w:w="77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101</w:t>
            </w:r>
          </w:p>
        </w:tc>
        <w:tc>
          <w:tcPr>
            <w:tcW w:w="915" w:type="dxa"/>
            <w:vMerge w:val="continue"/>
            <w:noWrap w:val="0"/>
            <w:vAlign w:val="center"/>
          </w:tcPr>
          <w:p>
            <w:pPr>
              <w:spacing w:line="240" w:lineRule="exact"/>
              <w:jc w:val="center"/>
              <w:rPr>
                <w:rFonts w:hint="default" w:ascii="Times New Roman" w:hAnsi="Times New Roman" w:eastAsia="仿宋_GB2312" w:cs="Times New Roman"/>
                <w:i w:val="0"/>
                <w:color w:val="auto"/>
                <w:sz w:val="22"/>
                <w:szCs w:val="22"/>
                <w:highlight w:val="none"/>
                <w:u w:val="none"/>
              </w:rPr>
            </w:pPr>
          </w:p>
        </w:tc>
        <w:tc>
          <w:tcPr>
            <w:tcW w:w="121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云浮市</w:t>
            </w:r>
          </w:p>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云安区</w:t>
            </w:r>
          </w:p>
        </w:tc>
        <w:tc>
          <w:tcPr>
            <w:tcW w:w="318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云浮市云安区疾病预防控制中心</w:t>
            </w:r>
          </w:p>
        </w:tc>
        <w:tc>
          <w:tcPr>
            <w:tcW w:w="114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92</w:t>
            </w:r>
          </w:p>
        </w:tc>
        <w:tc>
          <w:tcPr>
            <w:tcW w:w="1116"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widowControl/>
              <w:suppressLineNumbers w:val="0"/>
              <w:spacing w:line="24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60" w:hRule="atLeast"/>
          <w:jc w:val="center"/>
        </w:trPr>
        <w:tc>
          <w:tcPr>
            <w:tcW w:w="14514"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sz w:val="22"/>
                <w:szCs w:val="22"/>
                <w:highlight w:val="none"/>
                <w:u w:val="none"/>
              </w:rPr>
            </w:pPr>
            <w:r>
              <w:rPr>
                <w:rFonts w:hint="default" w:ascii="Times New Roman" w:hAnsi="Times New Roman" w:eastAsia="仿宋_GB2312" w:cs="Times New Roman"/>
                <w:b/>
                <w:bCs/>
                <w:i w:val="0"/>
                <w:color w:val="auto"/>
                <w:sz w:val="22"/>
                <w:szCs w:val="22"/>
                <w:highlight w:val="none"/>
                <w:u w:val="none"/>
                <w:lang w:val="en-US" w:eastAsia="zh-CN"/>
              </w:rPr>
              <w:t>（二）未设立疾控中心的县区（21个）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w:t>
            </w:r>
          </w:p>
        </w:tc>
        <w:tc>
          <w:tcPr>
            <w:tcW w:w="9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人口数100万以上</w:t>
            </w:r>
            <w:r>
              <w:rPr>
                <w:rFonts w:hint="default" w:ascii="Times New Roman" w:hAnsi="Times New Roman" w:cs="Times New Roman"/>
                <w:i w:val="0"/>
                <w:color w:val="auto"/>
                <w:kern w:val="0"/>
                <w:sz w:val="22"/>
                <w:szCs w:val="22"/>
                <w:highlight w:val="none"/>
                <w:u w:val="none"/>
                <w:lang w:val="en-US" w:eastAsia="zh-CN" w:bidi="ar"/>
              </w:rPr>
              <w:t>（2个）</w:t>
            </w: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珠海市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香洲区</w:t>
            </w:r>
          </w:p>
        </w:tc>
        <w:tc>
          <w:tcPr>
            <w:tcW w:w="31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cs="Times New Roman"/>
                <w:i w:val="0"/>
                <w:color w:val="auto"/>
                <w:kern w:val="0"/>
                <w:sz w:val="22"/>
                <w:szCs w:val="22"/>
                <w:highlight w:val="none"/>
                <w:u w:val="none"/>
                <w:lang w:val="en-US" w:eastAsia="zh-CN" w:bidi="ar"/>
              </w:rPr>
              <w:t>1.</w:t>
            </w:r>
            <w:r>
              <w:rPr>
                <w:rFonts w:hint="default" w:ascii="Times New Roman" w:hAnsi="Times New Roman" w:eastAsia="仿宋_GB2312" w:cs="Times New Roman"/>
                <w:i w:val="0"/>
                <w:color w:val="auto"/>
                <w:kern w:val="0"/>
                <w:sz w:val="22"/>
                <w:szCs w:val="22"/>
                <w:highlight w:val="none"/>
                <w:u w:val="none"/>
                <w:lang w:val="en-US" w:eastAsia="zh-CN" w:bidi="ar"/>
              </w:rPr>
              <w:t>根据《中央编办 财政部 国家卫生计生委关于印发疾控预防控制中心机构编制标准指导意见的通知》（中央编办发﹝2014﹞2号）、《疾病预防控制中心建设标准》、《省、地、县级疾病预防控制中心实验室建设指导意见》(卫办疾控发﹝2004﹞108号）要求，成立县（区）疾控中心，新建县区级疾控中心实验用房、业务用房、保障用房、行政用房面积占总建筑面积的比例满足国家要求。</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380" w:lineRule="exact"/>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根据《省、地、县级疾病预防控制中心实验室建设指导意见》(卫办疾控发﹝2004﹞108号）、《广东省疾控机构县区级实验室主要仪器设备配置标准》要求，对新成立的县（区）疾控中心进行实验室仪器设备设施配置，使实验室仪器配置率、检测项目开展率等指标达到国家标准。</w:t>
            </w: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惠州市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惠城区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500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0"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w:t>
            </w:r>
          </w:p>
        </w:tc>
        <w:tc>
          <w:tcPr>
            <w:tcW w:w="9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人口数50-100万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cs="Times New Roman"/>
                <w:i w:val="0"/>
                <w:color w:val="auto"/>
                <w:kern w:val="0"/>
                <w:sz w:val="22"/>
                <w:szCs w:val="22"/>
                <w:highlight w:val="none"/>
                <w:u w:val="none"/>
                <w:lang w:val="en-US" w:eastAsia="zh-CN" w:bidi="ar"/>
              </w:rPr>
              <w:t>（4个）</w:t>
            </w: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珠海市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斗门区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4</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蓬江区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5</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阳江市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6</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揭阳市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榕城区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400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0"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7</w:t>
            </w:r>
          </w:p>
        </w:tc>
        <w:tc>
          <w:tcPr>
            <w:tcW w:w="9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人口数30-50万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i w:val="0"/>
                <w:color w:val="auto"/>
                <w:kern w:val="0"/>
                <w:sz w:val="22"/>
                <w:szCs w:val="22"/>
                <w:highlight w:val="none"/>
                <w:u w:val="none"/>
                <w:lang w:val="en-US" w:eastAsia="zh-CN" w:bidi="ar"/>
              </w:rPr>
            </w:pPr>
            <w:r>
              <w:rPr>
                <w:rFonts w:hint="default" w:ascii="Times New Roman" w:hAnsi="Times New Roman" w:cs="Times New Roman"/>
                <w:i w:val="0"/>
                <w:color w:val="auto"/>
                <w:kern w:val="0"/>
                <w:sz w:val="22"/>
                <w:szCs w:val="22"/>
                <w:highlight w:val="none"/>
                <w:u w:val="none"/>
                <w:lang w:val="en-US" w:eastAsia="zh-CN" w:bidi="ar"/>
              </w:rPr>
              <w:t>（10个）</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浈江区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8</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江门市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江海区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9</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霞山区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10</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坡头区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11</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端州区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12</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梅州市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梅江区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13</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汕尾市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14</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河源市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源城区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15</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潮州市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湘桥区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16</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云浮市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云城区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300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17</w:t>
            </w:r>
          </w:p>
        </w:tc>
        <w:tc>
          <w:tcPr>
            <w:tcW w:w="91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人口数30万以下</w:t>
            </w:r>
            <w:r>
              <w:rPr>
                <w:rFonts w:hint="default" w:ascii="Times New Roman" w:hAnsi="Times New Roman" w:cs="Times New Roman"/>
                <w:i w:val="0"/>
                <w:color w:val="auto"/>
                <w:kern w:val="0"/>
                <w:sz w:val="22"/>
                <w:szCs w:val="22"/>
                <w:highlight w:val="none"/>
                <w:u w:val="none"/>
                <w:lang w:val="en-US" w:eastAsia="zh-CN" w:bidi="ar"/>
              </w:rPr>
              <w:t>（5个）</w:t>
            </w: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韶关市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武江区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18</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珠海市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金湾区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19</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赤坎区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7"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20</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湛江市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麻章区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3" w:hRule="atLeast"/>
          <w:jc w:val="center"/>
        </w:trPr>
        <w:tc>
          <w:tcPr>
            <w:tcW w:w="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21</w:t>
            </w:r>
          </w:p>
        </w:tc>
        <w:tc>
          <w:tcPr>
            <w:tcW w:w="91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肇庆市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鼎湖区</w:t>
            </w:r>
          </w:p>
        </w:tc>
        <w:tc>
          <w:tcPr>
            <w:tcW w:w="31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49"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p>
        </w:tc>
        <w:tc>
          <w:tcPr>
            <w:tcW w:w="11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2"/>
                <w:szCs w:val="22"/>
                <w:highlight w:val="none"/>
                <w:u w:val="none"/>
                <w:lang w:val="en-US" w:eastAsia="zh-CN" w:bidi="ar"/>
              </w:rPr>
              <w:t>200</w:t>
            </w:r>
          </w:p>
        </w:tc>
        <w:tc>
          <w:tcPr>
            <w:tcW w:w="34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生物安全二级防护水平</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具备核酸检测能力</w:t>
            </w:r>
          </w:p>
        </w:tc>
      </w:tr>
    </w:tbl>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F4D42"/>
    <w:rsid w:val="398F4D42"/>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 w:val="32"/>
      <w:szCs w:val="24"/>
      <w:lang w:bidi="ar-SA"/>
    </w:rPr>
  </w:style>
  <w:style w:type="character" w:customStyle="1" w:styleId="5">
    <w:name w:val="font11"/>
    <w:basedOn w:val="4"/>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2020-12-31T01:46:00Z</dcterms:created>
  <dc:creator>eva</dc:creator>
  <cp:lastModifiedBy>eva</cp:lastModifiedBy>
  <dcterms:modified xsi:type="dcterms:W3CDTF">2020-12-31T01:46:26Z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