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-1</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default"/>
          <w:color w:val="auto"/>
          <w:highlight w:val="none"/>
        </w:rPr>
      </w:pPr>
    </w:p>
    <w:p>
      <w:pPr>
        <w:pStyle w:val="2"/>
        <w:keepNext w:val="0"/>
        <w:keepLines w:val="0"/>
        <w:pageBreakBefore w:val="0"/>
        <w:widowControl w:val="0"/>
        <w:kinsoku/>
        <w:wordWrap/>
        <w:overflowPunct/>
        <w:topLinePunct w:val="0"/>
        <w:autoSpaceDE/>
        <w:autoSpaceDN/>
        <w:bidi w:val="0"/>
        <w:adjustRightInd/>
        <w:snapToGrid/>
        <w:spacing w:after="0" w:afterLines="0" w:line="700" w:lineRule="exact"/>
        <w:jc w:val="center"/>
        <w:textAlignment w:val="auto"/>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城市传染病救治网络建设项目目标任务表</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default" w:ascii="Times New Roman" w:hAnsi="Times New Roman" w:eastAsia="方正小标宋简体" w:cs="Times New Roman"/>
          <w:color w:val="auto"/>
          <w:sz w:val="36"/>
          <w:szCs w:val="36"/>
          <w:highlight w:val="none"/>
        </w:rPr>
      </w:pPr>
    </w:p>
    <w:tbl>
      <w:tblPr>
        <w:tblStyle w:val="3"/>
        <w:tblW w:w="8940" w:type="dxa"/>
        <w:jc w:val="center"/>
        <w:tblInd w:w="0" w:type="dxa"/>
        <w:tblLayout w:type="fixed"/>
        <w:tblCellMar>
          <w:top w:w="15" w:type="dxa"/>
          <w:left w:w="15" w:type="dxa"/>
          <w:bottom w:w="15" w:type="dxa"/>
          <w:right w:w="15" w:type="dxa"/>
        </w:tblCellMar>
      </w:tblPr>
      <w:tblGrid>
        <w:gridCol w:w="736"/>
        <w:gridCol w:w="1175"/>
        <w:gridCol w:w="1034"/>
        <w:gridCol w:w="5995"/>
      </w:tblGrid>
      <w:tr>
        <w:tblPrEx>
          <w:tblLayout w:type="fixed"/>
          <w:tblCellMar>
            <w:top w:w="15" w:type="dxa"/>
            <w:left w:w="15" w:type="dxa"/>
            <w:bottom w:w="15" w:type="dxa"/>
            <w:right w:w="15" w:type="dxa"/>
          </w:tblCellMar>
        </w:tblPrEx>
        <w:trPr>
          <w:trHeight w:val="484" w:hRule="atLeas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类别</w:t>
            </w:r>
          </w:p>
        </w:tc>
        <w:tc>
          <w:tcPr>
            <w:tcW w:w="820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内容</w:t>
            </w:r>
          </w:p>
        </w:tc>
      </w:tr>
      <w:tr>
        <w:tblPrEx>
          <w:tblLayout w:type="fixed"/>
          <w:tblCellMar>
            <w:top w:w="15" w:type="dxa"/>
            <w:left w:w="15" w:type="dxa"/>
            <w:bottom w:w="15" w:type="dxa"/>
            <w:right w:w="15" w:type="dxa"/>
          </w:tblCellMar>
        </w:tblPrEx>
        <w:trPr>
          <w:trHeight w:val="1517" w:hRule="atLeast"/>
          <w:jc w:val="center"/>
        </w:trPr>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项目目标</w:t>
            </w:r>
          </w:p>
        </w:tc>
        <w:tc>
          <w:tcPr>
            <w:tcW w:w="2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总 目 标</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以</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平战结合、分层分类、高效协作</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为原则。构建分级分层分流的城市传染病救治网络。地级以上市建有传染病医院或相对独立的综合性医院传染病区；人口较少地市指定具备条件的三级综合性医院作为传染病定点收治医院，实现100%达标。</w:t>
            </w:r>
          </w:p>
        </w:tc>
      </w:tr>
      <w:tr>
        <w:tblPrEx>
          <w:tblLayout w:type="fixed"/>
          <w:tblCellMar>
            <w:top w:w="15" w:type="dxa"/>
            <w:left w:w="15" w:type="dxa"/>
            <w:bottom w:w="15" w:type="dxa"/>
            <w:right w:w="15" w:type="dxa"/>
          </w:tblCellMar>
        </w:tblPrEx>
        <w:trPr>
          <w:trHeight w:val="992"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4"/>
                <w:szCs w:val="24"/>
                <w:highlight w:val="none"/>
              </w:rPr>
            </w:pPr>
          </w:p>
        </w:tc>
        <w:tc>
          <w:tcPr>
            <w:tcW w:w="11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年度目标</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2020年</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kern w:val="0"/>
                <w:sz w:val="24"/>
                <w:szCs w:val="24"/>
                <w:highlight w:val="none"/>
                <w:lang w:bidi="ar"/>
              </w:rPr>
              <w:t>所有承担传染病收治任务的地市级及以上医院全部具备核酸检测能力；二级以上综合医院全面完成发热门诊规范化改造提升。</w:t>
            </w:r>
            <w:r>
              <w:rPr>
                <w:rFonts w:hint="default" w:ascii="Times New Roman" w:hAnsi="Times New Roman" w:eastAsia="仿宋_GB2312" w:cs="Times New Roman"/>
                <w:color w:val="auto"/>
                <w:kern w:val="0"/>
                <w:sz w:val="24"/>
                <w:szCs w:val="24"/>
                <w:highlight w:val="none"/>
                <w:lang w:val="en-US" w:eastAsia="zh-CN" w:bidi="ar"/>
              </w:rPr>
              <w:t>完成省公共卫生医学中心建设项目前期工作。</w:t>
            </w:r>
          </w:p>
        </w:tc>
      </w:tr>
      <w:tr>
        <w:tblPrEx>
          <w:tblLayout w:type="fixed"/>
          <w:tblCellMar>
            <w:top w:w="15" w:type="dxa"/>
            <w:left w:w="15" w:type="dxa"/>
            <w:bottom w:w="15" w:type="dxa"/>
            <w:right w:w="15" w:type="dxa"/>
          </w:tblCellMar>
        </w:tblPrEx>
        <w:trPr>
          <w:trHeight w:val="782"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4"/>
                <w:szCs w:val="24"/>
                <w:highlight w:val="none"/>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sz w:val="24"/>
                <w:szCs w:val="24"/>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2021年</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在年中基本完成可转换传染病区和重症监护病区（ICU）建设任务。</w:t>
            </w:r>
          </w:p>
        </w:tc>
      </w:tr>
      <w:tr>
        <w:tblPrEx>
          <w:tblLayout w:type="fixed"/>
          <w:tblCellMar>
            <w:top w:w="15" w:type="dxa"/>
            <w:left w:w="15" w:type="dxa"/>
            <w:bottom w:w="15" w:type="dxa"/>
            <w:right w:w="15" w:type="dxa"/>
          </w:tblCellMar>
        </w:tblPrEx>
        <w:trPr>
          <w:trHeight w:val="72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4"/>
                <w:szCs w:val="24"/>
                <w:highlight w:val="none"/>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sz w:val="24"/>
                <w:szCs w:val="24"/>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2022年</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全面完成城市传染病救治网络建设任务</w:t>
            </w:r>
          </w:p>
        </w:tc>
      </w:tr>
      <w:tr>
        <w:tblPrEx>
          <w:tblLayout w:type="fixed"/>
          <w:tblCellMar>
            <w:top w:w="15" w:type="dxa"/>
            <w:left w:w="15" w:type="dxa"/>
            <w:bottom w:w="15" w:type="dxa"/>
            <w:right w:w="15" w:type="dxa"/>
          </w:tblCellMar>
        </w:tblPrEx>
        <w:trPr>
          <w:trHeight w:val="2424" w:hRule="atLeast"/>
          <w:jc w:val="center"/>
        </w:trPr>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工作任务</w:t>
            </w:r>
          </w:p>
        </w:tc>
        <w:tc>
          <w:tcPr>
            <w:tcW w:w="2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扩大传染病集中收治容量</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1.加强基础设施建设和设备升级；</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三区两通道</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2.配置负压救护车、负压担架；</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3.强化物质储备；</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4.适度预留应急场地和改造空间；</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5.配套建设医疗废弃物和污水处置设施。</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每个城市选择1-2所医疗机构改扩建：市区人口100万以下，60-100张；100-500万，100-600张；500万以上，不少于600张。达到救治条件的地区，不再建设。</w:t>
            </w:r>
          </w:p>
        </w:tc>
      </w:tr>
      <w:tr>
        <w:tblPrEx>
          <w:tblLayout w:type="fixed"/>
          <w:tblCellMar>
            <w:top w:w="15" w:type="dxa"/>
            <w:left w:w="15" w:type="dxa"/>
            <w:bottom w:w="15" w:type="dxa"/>
            <w:right w:w="15" w:type="dxa"/>
          </w:tblCellMar>
        </w:tblPrEx>
        <w:trPr>
          <w:trHeight w:val="862"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 w:val="24"/>
                <w:szCs w:val="24"/>
                <w:highlight w:val="none"/>
              </w:rPr>
            </w:pPr>
          </w:p>
        </w:tc>
        <w:tc>
          <w:tcPr>
            <w:tcW w:w="2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加强ICU建设</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1.配置床旁监护系统、呼吸机、ECMO等相关设备；</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2.ICU床位占比达到医院编制床位的5－10%。</w:t>
            </w:r>
          </w:p>
        </w:tc>
      </w:tr>
      <w:tr>
        <w:tblPrEx>
          <w:tblLayout w:type="fixed"/>
          <w:tblCellMar>
            <w:top w:w="15" w:type="dxa"/>
            <w:left w:w="15" w:type="dxa"/>
            <w:bottom w:w="15" w:type="dxa"/>
            <w:right w:w="15" w:type="dxa"/>
          </w:tblCellMar>
        </w:tblPrEx>
        <w:trPr>
          <w:trHeight w:val="862"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 w:val="24"/>
                <w:szCs w:val="24"/>
                <w:highlight w:val="none"/>
              </w:rPr>
            </w:pPr>
          </w:p>
        </w:tc>
        <w:tc>
          <w:tcPr>
            <w:tcW w:w="2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提高传染病检验检测能力</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1.配备PCR等检测设备；</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2.建立达到生安全二级（P2）水平的实验室。</w:t>
            </w:r>
          </w:p>
        </w:tc>
      </w:tr>
      <w:tr>
        <w:tblPrEx>
          <w:tblLayout w:type="fixed"/>
          <w:tblCellMar>
            <w:top w:w="15" w:type="dxa"/>
            <w:left w:w="15" w:type="dxa"/>
            <w:bottom w:w="15" w:type="dxa"/>
            <w:right w:w="15" w:type="dxa"/>
          </w:tblCellMar>
        </w:tblPrEx>
        <w:trPr>
          <w:trHeight w:val="895"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 w:val="24"/>
                <w:szCs w:val="24"/>
                <w:highlight w:val="none"/>
              </w:rPr>
            </w:pPr>
          </w:p>
        </w:tc>
        <w:tc>
          <w:tcPr>
            <w:tcW w:w="2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加强中医药科室建设</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1.按标准设置中医药科室；</w:t>
            </w:r>
            <w:r>
              <w:rPr>
                <w:rFonts w:hint="default" w:ascii="Times New Roman" w:hAnsi="Times New Roman" w:eastAsia="仿宋_GB2312" w:cs="Times New Roman"/>
                <w:color w:val="auto"/>
                <w:kern w:val="0"/>
                <w:sz w:val="24"/>
                <w:szCs w:val="24"/>
                <w:highlight w:val="none"/>
                <w:lang w:bidi="ar"/>
              </w:rPr>
              <w:br w:type="textWrapping"/>
            </w:r>
            <w:r>
              <w:rPr>
                <w:rFonts w:hint="default" w:ascii="Times New Roman" w:hAnsi="Times New Roman" w:eastAsia="仿宋_GB2312" w:cs="Times New Roman"/>
                <w:color w:val="auto"/>
                <w:kern w:val="0"/>
                <w:sz w:val="24"/>
                <w:szCs w:val="24"/>
                <w:highlight w:val="none"/>
                <w:lang w:bidi="ar"/>
              </w:rPr>
              <w:t>2.提升中西医结合防治传染病能力。</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17CF8"/>
    <w:rsid w:val="17517CF8"/>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2020-12-31T01:47:00Z</dcterms:created>
  <dc:creator>eva</dc:creator>
  <cp:lastModifiedBy>eva</cp:lastModifiedBy>
  <dcterms:modified xsi:type="dcterms:W3CDTF">2020-12-31T01:48:11Z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