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b w:val="0"/>
          <w:bCs w:val="0"/>
          <w:color w:val="auto"/>
          <w:sz w:val="32"/>
          <w:szCs w:val="20"/>
          <w:highlight w:val="none"/>
          <w:lang w:val="en-US" w:eastAsia="zh-CN"/>
        </w:rPr>
      </w:pPr>
      <w:r>
        <w:rPr>
          <w:rFonts w:hint="default" w:ascii="Times New Roman" w:hAnsi="Times New Roman" w:eastAsia="黑体" w:cs="Times New Roman"/>
          <w:b w:val="0"/>
          <w:bCs w:val="0"/>
          <w:color w:val="auto"/>
          <w:sz w:val="32"/>
          <w:szCs w:val="20"/>
          <w:highlight w:val="none"/>
          <w:lang w:val="en-US" w:eastAsia="zh-CN"/>
        </w:rPr>
        <w:t>附件</w:t>
      </w:r>
      <w:r>
        <w:rPr>
          <w:rFonts w:hint="eastAsia" w:eastAsia="黑体" w:cs="Times New Roman"/>
          <w:b w:val="0"/>
          <w:bCs w:val="0"/>
          <w:color w:val="auto"/>
          <w:sz w:val="32"/>
          <w:szCs w:val="20"/>
          <w:highlight w:val="none"/>
          <w:lang w:val="en-US" w:eastAsia="zh-CN"/>
        </w:rPr>
        <w:t>4</w:t>
      </w:r>
      <w:r>
        <w:rPr>
          <w:rFonts w:hint="default" w:ascii="Times New Roman" w:hAnsi="Times New Roman" w:eastAsia="黑体" w:cs="Times New Roman"/>
          <w:b w:val="0"/>
          <w:bCs w:val="0"/>
          <w:color w:val="auto"/>
          <w:sz w:val="32"/>
          <w:szCs w:val="20"/>
          <w:highlight w:val="none"/>
          <w:lang w:val="en-US" w:eastAsia="zh-CN"/>
        </w:rPr>
        <w:t>-1</w:t>
      </w:r>
    </w:p>
    <w:p>
      <w:pPr>
        <w:keepNext w:val="0"/>
        <w:keepLines w:val="0"/>
        <w:pageBreakBefore w:val="0"/>
        <w:widowControl w:val="0"/>
        <w:kinsoku/>
        <w:wordWrap/>
        <w:overflowPunct/>
        <w:topLinePunct w:val="0"/>
        <w:autoSpaceDE/>
        <w:autoSpaceDN/>
        <w:bidi w:val="0"/>
        <w:adjustRightInd/>
        <w:snapToGrid/>
        <w:spacing w:before="176" w:beforeLines="30" w:after="292" w:afterLines="50" w:line="700" w:lineRule="exact"/>
        <w:jc w:val="center"/>
        <w:textAlignment w:val="auto"/>
        <w:outlineLvl w:val="9"/>
        <w:rPr>
          <w:rFonts w:hint="default" w:ascii="Times New Roman" w:hAnsi="Times New Roman" w:eastAsia="方正小标宋简体" w:cs="Times New Roman"/>
          <w:color w:val="auto"/>
          <w:sz w:val="36"/>
          <w:szCs w:val="36"/>
          <w:highlight w:val="none"/>
          <w:lang w:val="en-US" w:eastAsia="zh-CN"/>
        </w:rPr>
      </w:pPr>
      <w:r>
        <w:rPr>
          <w:rFonts w:hint="default" w:ascii="Times New Roman" w:hAnsi="Times New Roman" w:eastAsia="方正小标宋简体" w:cs="Times New Roman"/>
          <w:color w:val="auto"/>
          <w:sz w:val="36"/>
          <w:szCs w:val="36"/>
          <w:highlight w:val="none"/>
          <w:lang w:eastAsia="zh-CN"/>
        </w:rPr>
        <w:t>省级</w:t>
      </w:r>
      <w:r>
        <w:rPr>
          <w:rFonts w:hint="default" w:ascii="Times New Roman" w:hAnsi="Times New Roman" w:eastAsia="方正小标宋简体" w:cs="Times New Roman"/>
          <w:color w:val="auto"/>
          <w:sz w:val="36"/>
          <w:szCs w:val="36"/>
          <w:highlight w:val="none"/>
        </w:rPr>
        <w:t>重大疫情救治基地</w:t>
      </w:r>
      <w:r>
        <w:rPr>
          <w:rFonts w:hint="default" w:ascii="Times New Roman" w:hAnsi="Times New Roman" w:eastAsia="方正小标宋简体" w:cs="Times New Roman"/>
          <w:color w:val="auto"/>
          <w:sz w:val="36"/>
          <w:szCs w:val="36"/>
          <w:highlight w:val="none"/>
          <w:lang w:val="en-US" w:eastAsia="zh-CN"/>
        </w:rPr>
        <w:t>建设项目任务表</w:t>
      </w:r>
    </w:p>
    <w:tbl>
      <w:tblPr>
        <w:tblStyle w:val="2"/>
        <w:tblW w:w="94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25"/>
        <w:gridCol w:w="1911"/>
        <w:gridCol w:w="6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6" w:hRule="atLeast"/>
          <w:jc w:val="center"/>
        </w:trPr>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bCs/>
                <w:i w:val="0"/>
                <w:color w:val="auto"/>
                <w:sz w:val="24"/>
                <w:szCs w:val="24"/>
                <w:highlight w:val="none"/>
                <w:u w:val="none"/>
              </w:rPr>
            </w:pPr>
            <w:r>
              <w:rPr>
                <w:rFonts w:hint="default" w:ascii="Times New Roman" w:hAnsi="Times New Roman" w:eastAsia="仿宋_GB2312" w:cs="Times New Roman"/>
                <w:b/>
                <w:bCs/>
                <w:i w:val="0"/>
                <w:color w:val="auto"/>
                <w:kern w:val="0"/>
                <w:sz w:val="24"/>
                <w:szCs w:val="24"/>
                <w:highlight w:val="none"/>
                <w:u w:val="none"/>
                <w:lang w:val="en-US" w:eastAsia="zh-CN" w:bidi="ar"/>
              </w:rPr>
              <w:t>类别</w:t>
            </w:r>
          </w:p>
        </w:tc>
        <w:tc>
          <w:tcPr>
            <w:tcW w:w="82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bCs/>
                <w:i w:val="0"/>
                <w:color w:val="auto"/>
                <w:sz w:val="24"/>
                <w:szCs w:val="24"/>
                <w:highlight w:val="none"/>
                <w:u w:val="none"/>
              </w:rPr>
            </w:pPr>
            <w:r>
              <w:rPr>
                <w:rFonts w:hint="default" w:ascii="Times New Roman" w:hAnsi="Times New Roman" w:eastAsia="仿宋_GB2312" w:cs="Times New Roman"/>
                <w:b/>
                <w:bCs/>
                <w:i w:val="0"/>
                <w:color w:val="auto"/>
                <w:kern w:val="0"/>
                <w:sz w:val="24"/>
                <w:szCs w:val="24"/>
                <w:highlight w:val="none"/>
                <w:u w:val="none"/>
                <w:lang w:val="en-US" w:eastAsia="zh-CN" w:bidi="ar"/>
              </w:rPr>
              <w:t>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89" w:hRule="atLeast"/>
          <w:jc w:val="center"/>
        </w:trPr>
        <w:tc>
          <w:tcPr>
            <w:tcW w:w="122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bCs/>
                <w:i w:val="0"/>
                <w:color w:val="auto"/>
                <w:sz w:val="24"/>
                <w:szCs w:val="24"/>
                <w:highlight w:val="none"/>
                <w:u w:val="none"/>
                <w:lang w:val="en-US"/>
              </w:rPr>
            </w:pPr>
            <w:r>
              <w:rPr>
                <w:rFonts w:hint="default" w:ascii="Times New Roman" w:hAnsi="Times New Roman" w:eastAsia="仿宋_GB2312" w:cs="Times New Roman"/>
                <w:b/>
                <w:bCs/>
                <w:i w:val="0"/>
                <w:color w:val="auto"/>
                <w:kern w:val="0"/>
                <w:sz w:val="24"/>
                <w:szCs w:val="24"/>
                <w:highlight w:val="none"/>
                <w:u w:val="none"/>
                <w:lang w:val="en-US" w:eastAsia="zh-CN" w:bidi="ar"/>
              </w:rPr>
              <w:t>项目目标</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总 目 标</w:t>
            </w:r>
          </w:p>
        </w:tc>
        <w:tc>
          <w:tcPr>
            <w:tcW w:w="6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依托综合实力强，特别是感染性疾病、呼吸、重症等专科优势突出的高水平医院（含中医医院），按照人口规模、辐射区域和疫情防控压力，结合国家应急队伍建设，在省内建设3所重大疫情救治基地，承担危重症患者集中救治和应急物资集中储备任务，能够在重大疫情发生时快速反应，有效提升危重症患者治愈率、降低病亡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0" w:hRule="atLeast"/>
          <w:jc w:val="center"/>
        </w:trPr>
        <w:tc>
          <w:tcPr>
            <w:tcW w:w="122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bCs/>
                <w:i w:val="0"/>
                <w:color w:val="auto"/>
                <w:sz w:val="24"/>
                <w:szCs w:val="24"/>
                <w:highlight w:val="none"/>
                <w:u w:val="none"/>
                <w:lang w:val="en-US"/>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val="0"/>
                <w:bCs w:val="0"/>
                <w:i w:val="0"/>
                <w:color w:val="auto"/>
                <w:sz w:val="24"/>
                <w:szCs w:val="24"/>
                <w:highlight w:val="none"/>
                <w:u w:val="none"/>
                <w:lang w:val="en-US"/>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年度目标</w:t>
            </w:r>
          </w:p>
        </w:tc>
        <w:tc>
          <w:tcPr>
            <w:tcW w:w="6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2021年前，</w:t>
            </w:r>
            <w:r>
              <w:rPr>
                <w:rFonts w:hint="default" w:ascii="Times New Roman" w:hAnsi="Times New Roman" w:eastAsia="仿宋_GB2312" w:cs="Times New Roman"/>
                <w:i w:val="0"/>
                <w:color w:val="auto"/>
                <w:kern w:val="0"/>
                <w:sz w:val="24"/>
                <w:szCs w:val="24"/>
                <w:highlight w:val="none"/>
                <w:u w:val="none"/>
                <w:lang w:val="en-US" w:eastAsia="zh-CN" w:bidi="ar"/>
              </w:rPr>
              <w:t>3所省级重大疫情救治基地完成改造升级。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77" w:hRule="atLeast"/>
          <w:jc w:val="center"/>
        </w:trPr>
        <w:tc>
          <w:tcPr>
            <w:tcW w:w="122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bCs/>
                <w:i w:val="0"/>
                <w:color w:val="auto"/>
                <w:sz w:val="24"/>
                <w:szCs w:val="24"/>
                <w:highlight w:val="none"/>
                <w:u w:val="none"/>
              </w:rPr>
            </w:pPr>
            <w:r>
              <w:rPr>
                <w:rFonts w:hint="default" w:ascii="Times New Roman" w:hAnsi="Times New Roman" w:eastAsia="仿宋_GB2312" w:cs="Times New Roman"/>
                <w:b/>
                <w:bCs/>
                <w:i w:val="0"/>
                <w:color w:val="auto"/>
                <w:kern w:val="0"/>
                <w:sz w:val="24"/>
                <w:szCs w:val="24"/>
                <w:highlight w:val="none"/>
                <w:u w:val="none"/>
                <w:lang w:val="en-US" w:eastAsia="zh-CN" w:bidi="ar"/>
              </w:rPr>
              <w:t>工作任务</w:t>
            </w: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加强重症监护病区（ICU)建设</w:t>
            </w:r>
          </w:p>
        </w:tc>
        <w:tc>
          <w:tcPr>
            <w:tcW w:w="6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1.设置重症监护病床（按医院编制床位10%-15%）；2.设置负压病房和负压手术室；3.配置心肺复苏、呼吸机、ECMO等必要医疗设备。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jc w:val="center"/>
        </w:trPr>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仿宋_GB2312" w:cs="Times New Roman"/>
                <w:b w:val="0"/>
                <w:bCs w:val="0"/>
                <w:i w:val="0"/>
                <w:color w:val="auto"/>
                <w:sz w:val="24"/>
                <w:szCs w:val="24"/>
                <w:highlight w:val="none"/>
                <w:u w:val="none"/>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建设可转换病区</w:t>
            </w:r>
          </w:p>
        </w:tc>
        <w:tc>
          <w:tcPr>
            <w:tcW w:w="6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1.按战时状态下达到三区两通道的防护要求改造现有病区和影像检查用房；2.按重症集中收治中心要求改造水电气。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05" w:hRule="atLeast"/>
          <w:jc w:val="center"/>
        </w:trPr>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仿宋_GB2312" w:cs="Times New Roman"/>
                <w:b w:val="0"/>
                <w:bCs w:val="0"/>
                <w:i w:val="0"/>
                <w:color w:val="auto"/>
                <w:sz w:val="24"/>
                <w:szCs w:val="24"/>
                <w:highlight w:val="none"/>
                <w:u w:val="none"/>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改善呼吸、感染等专科设施条件</w:t>
            </w:r>
          </w:p>
        </w:tc>
        <w:tc>
          <w:tcPr>
            <w:tcW w:w="6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1.鼓励设置独立病区或院区，重点加强检验、发热门诊等业务用房建设；2.设置门急诊观察窗（按医院床位2%-3%)；3.建设科研、教学用房；4.加强血液保障能力建设，配备相关设备；5.加强专业人才队伍建设和能力培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71" w:hRule="atLeast"/>
          <w:jc w:val="center"/>
        </w:trPr>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仿宋_GB2312" w:cs="Times New Roman"/>
                <w:b w:val="0"/>
                <w:bCs w:val="0"/>
                <w:i w:val="0"/>
                <w:color w:val="auto"/>
                <w:sz w:val="24"/>
                <w:szCs w:val="24"/>
                <w:highlight w:val="none"/>
                <w:u w:val="none"/>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提升公共卫生检验检测、科研和紧急医学救援能力</w:t>
            </w:r>
          </w:p>
        </w:tc>
        <w:tc>
          <w:tcPr>
            <w:tcW w:w="6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1.建设达到生物安全二级或三级水平的实验室、PCR实验室、传染病解剖室等；2.加强紧急医学救援快速反应装备配置。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8" w:hRule="atLeast"/>
          <w:jc w:val="center"/>
        </w:trPr>
        <w:tc>
          <w:tcPr>
            <w:tcW w:w="1225"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outlineLvl w:val="9"/>
              <w:rPr>
                <w:rFonts w:hint="default" w:ascii="Times New Roman" w:hAnsi="Times New Roman" w:eastAsia="仿宋_GB2312" w:cs="Times New Roman"/>
                <w:b w:val="0"/>
                <w:bCs w:val="0"/>
                <w:i w:val="0"/>
                <w:color w:val="auto"/>
                <w:sz w:val="24"/>
                <w:szCs w:val="24"/>
                <w:highlight w:val="none"/>
                <w:u w:val="none"/>
              </w:rPr>
            </w:pPr>
          </w:p>
        </w:tc>
        <w:tc>
          <w:tcPr>
            <w:tcW w:w="1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default" w:ascii="Times New Roman" w:hAnsi="Times New Roman" w:eastAsia="仿宋_GB2312" w:cs="Times New Roman"/>
                <w:b w:val="0"/>
                <w:bCs w:val="0"/>
                <w:i w:val="0"/>
                <w:color w:val="auto"/>
                <w:sz w:val="24"/>
                <w:szCs w:val="24"/>
                <w:highlight w:val="none"/>
                <w:u w:val="none"/>
              </w:rPr>
            </w:pPr>
            <w:r>
              <w:rPr>
                <w:rFonts w:hint="default" w:ascii="Times New Roman" w:hAnsi="Times New Roman" w:eastAsia="仿宋_GB2312" w:cs="Times New Roman"/>
                <w:b w:val="0"/>
                <w:bCs w:val="0"/>
                <w:i w:val="0"/>
                <w:color w:val="auto"/>
                <w:kern w:val="0"/>
                <w:sz w:val="24"/>
                <w:szCs w:val="24"/>
                <w:highlight w:val="none"/>
                <w:u w:val="none"/>
                <w:lang w:val="en-US" w:eastAsia="zh-CN" w:bidi="ar"/>
              </w:rPr>
              <w:t>加强应急救治物资储备</w:t>
            </w:r>
          </w:p>
        </w:tc>
        <w:tc>
          <w:tcPr>
            <w:tcW w:w="6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default" w:ascii="Times New Roman" w:hAnsi="Times New Roman" w:eastAsia="仿宋_GB2312" w:cs="Times New Roman"/>
                <w:i w:val="0"/>
                <w:color w:val="auto"/>
                <w:sz w:val="24"/>
                <w:szCs w:val="24"/>
                <w:highlight w:val="none"/>
                <w:u w:val="none"/>
              </w:rPr>
            </w:pPr>
            <w:r>
              <w:rPr>
                <w:rFonts w:hint="default" w:ascii="Times New Roman" w:hAnsi="Times New Roman" w:eastAsia="仿宋_GB2312" w:cs="Times New Roman"/>
                <w:i w:val="0"/>
                <w:color w:val="auto"/>
                <w:kern w:val="0"/>
                <w:sz w:val="24"/>
                <w:szCs w:val="24"/>
                <w:highlight w:val="none"/>
                <w:u w:val="none"/>
                <w:lang w:val="en-US" w:eastAsia="zh-CN" w:bidi="ar"/>
              </w:rPr>
              <w:t>储备一定数量的重症患者救治、普通患者监护、方舱医院设备等方面物资。</w:t>
            </w:r>
          </w:p>
        </w:tc>
      </w:tr>
    </w:tbl>
    <w:p>
      <w:bookmarkStart w:id="0" w:name="_GoBack"/>
      <w:bookmarkEnd w:id="0"/>
    </w:p>
    <w:sectPr>
      <w:pgSz w:w="11906" w:h="16838"/>
      <w:pgMar w:top="2041" w:right="1531"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C5723"/>
    <w:rsid w:val="45CA5A85"/>
    <w:rsid w:val="4C4C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2020-12-31T01:48:00Z</dcterms:created>
  <dc:creator>eva</dc:creator>
  <cp:lastModifiedBy>eva</cp:lastModifiedBy>
  <dcterms:modified xsi:type="dcterms:W3CDTF">2020-12-31T01:48:55Z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