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jpeg" ContentType="image/jpeg"/>
  <Default Extension="JPG" ContentType="image/.jpg"/>
  <Default Extension="png" ContentType="image/pn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snapToGrid w:val="0"/>
          <w:kern w:val="0"/>
          <w:sz w:val="32"/>
          <w:szCs w:val="32"/>
          <w:highlight w:val="none"/>
          <w:lang w:eastAsia="zh-CN"/>
        </w:rPr>
        <w:t>附件</w:t>
      </w:r>
      <w:r>
        <w:rPr>
          <w:rFonts w:hint="default" w:ascii="Times New Roman" w:hAnsi="Times New Roman" w:eastAsia="黑体" w:cs="Times New Roman"/>
          <w:snapToGrid w:val="0"/>
          <w:kern w:val="0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黑体" w:cs="Times New Roman"/>
          <w:snapToGrid w:val="0"/>
          <w:kern w:val="0"/>
          <w:sz w:val="32"/>
          <w:szCs w:val="32"/>
          <w:highlight w:val="none"/>
          <w:lang w:eastAsia="zh-CN"/>
        </w:rPr>
        <w:t>-</w:t>
      </w:r>
      <w:r>
        <w:rPr>
          <w:rFonts w:hint="default" w:ascii="Times New Roman" w:hAnsi="Times New Roman" w:eastAsia="黑体" w:cs="Times New Roman"/>
          <w:sz w:val="32"/>
          <w:szCs w:val="32"/>
          <w:highlight w:val="none"/>
        </w:rPr>
        <w:t>1</w:t>
      </w:r>
    </w:p>
    <w:p>
      <w:pPr>
        <w:snapToGrid w:val="0"/>
        <w:spacing w:line="560" w:lineRule="exact"/>
        <w:jc w:val="left"/>
        <w:rPr>
          <w:rFonts w:hint="default" w:ascii="Times New Roman" w:hAnsi="Times New Roman" w:eastAsia="黑体" w:cs="Times New Roman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default" w:ascii="Times New Roman" w:hAnsi="Times New Roman" w:eastAsia="方正小标宋简体" w:cs="Times New Roman"/>
          <w:bCs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bCs/>
          <w:sz w:val="44"/>
          <w:szCs w:val="44"/>
          <w:highlight w:val="none"/>
        </w:rPr>
        <w:t>地中海贫血防控工作流程图</w:t>
      </w:r>
    </w:p>
    <w:p>
      <w:pPr>
        <w:rPr>
          <w:rFonts w:hint="default" w:ascii="Times New Roman" w:hAnsi="Times New Roman" w:cs="Times New Roman"/>
          <w:b/>
          <w:sz w:val="36"/>
          <w:szCs w:val="16"/>
          <w:highlight w:val="none"/>
        </w:rPr>
      </w:pPr>
    </w:p>
    <w:p>
      <w:pPr>
        <w:snapToGrid w:val="0"/>
        <w:rPr>
          <w:rFonts w:hint="default" w:ascii="Times New Roman" w:hAnsi="Times New Roman" w:eastAsia="方正小标宋简体" w:cs="Times New Roman"/>
          <w:sz w:val="28"/>
          <w:szCs w:val="28"/>
          <w:highlight w:val="none"/>
        </w:rPr>
      </w:pPr>
      <w:r>
        <w:rPr>
          <w:rFonts w:hint="default" w:ascii="Times New Roman" w:hAnsi="Times New Roman" w:eastAsia="方正小标宋简体" w:cs="Times New Roman"/>
          <w:sz w:val="28"/>
          <w:szCs w:val="28"/>
          <w:highlight w:val="none"/>
        </w:rPr>
        <w:drawing>
          <wp:inline distT="0" distB="0" distL="114300" distR="114300">
            <wp:extent cx="6057900" cy="522922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rcRect l="17921" t="9200" r="20398" b="14436"/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522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 w:ascii="Times New Roman" w:hAnsi="Times New Roman" w:cs="Times New Roman"/>
          <w:highlight w:val="none"/>
        </w:rPr>
      </w:pPr>
    </w:p>
    <w:p>
      <w:pPr>
        <w:rPr>
          <w:rFonts w:hint="default" w:ascii="Times New Roman" w:hAnsi="Times New Roman" w:cs="Times New Roman"/>
          <w:b/>
          <w:sz w:val="36"/>
          <w:szCs w:val="16"/>
          <w:highlight w:val="none"/>
        </w:rPr>
      </w:pPr>
      <w:r>
        <w:rPr>
          <w:rFonts w:hint="default" w:ascii="Times New Roman" w:hAnsi="Times New Roman" w:cs="Times New Roman"/>
          <w:b/>
          <w:sz w:val="36"/>
          <w:szCs w:val="16"/>
          <w:highlight w:val="none"/>
        </w:rPr>
        <w:t xml:space="preserve">   </w:t>
      </w:r>
    </w:p>
    <w:p>
      <w:pPr>
        <w:rPr>
          <w:rFonts w:hint="default" w:ascii="Times New Roman" w:hAnsi="Times New Roman" w:cs="Times New Roman"/>
          <w:b/>
          <w:sz w:val="36"/>
          <w:szCs w:val="16"/>
          <w:highlight w:val="none"/>
        </w:rPr>
        <w:sectPr>
          <w:pgSz w:w="11906" w:h="16838"/>
          <w:pgMar w:top="2041" w:right="1531" w:bottom="2041" w:left="1531" w:header="851" w:footer="130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docGrid w:type="linesAndChars" w:linePitch="579" w:charSpace="-3633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left"/>
        <w:textAlignment w:val="auto"/>
        <w:rPr>
          <w:rFonts w:hint="eastAsia" w:ascii="Times New Roman" w:hAnsi="Times New Roman" w:eastAsia="黑体" w:cs="Times New Roman"/>
          <w:snapToGrid w:val="0"/>
          <w:kern w:val="0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 w:cs="Times New Roman"/>
          <w:snapToGrid w:val="0"/>
          <w:kern w:val="0"/>
          <w:sz w:val="32"/>
          <w:szCs w:val="32"/>
          <w:highlight w:val="none"/>
          <w:lang w:eastAsia="zh-CN"/>
        </w:rPr>
        <w:t>附件</w:t>
      </w:r>
      <w:r>
        <w:rPr>
          <w:rFonts w:hint="eastAsia" w:ascii="Times New Roman" w:hAnsi="Times New Roman" w:eastAsia="黑体" w:cs="Times New Roman"/>
          <w:snapToGrid w:val="0"/>
          <w:kern w:val="0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Times New Roman" w:hAnsi="Times New Roman" w:eastAsia="黑体" w:cs="Times New Roman"/>
          <w:snapToGrid w:val="0"/>
          <w:kern w:val="0"/>
          <w:sz w:val="32"/>
          <w:szCs w:val="32"/>
          <w:highlight w:val="none"/>
          <w:lang w:eastAsia="zh-CN"/>
        </w:rPr>
        <w:t>-2</w:t>
      </w:r>
    </w:p>
    <w:p>
      <w:pPr>
        <w:spacing w:line="560" w:lineRule="exact"/>
        <w:jc w:val="left"/>
        <w:rPr>
          <w:rFonts w:hint="default" w:ascii="Times New Roman" w:hAnsi="Times New Roman" w:eastAsia="黑体" w:cs="Times New Roman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default" w:ascii="Times New Roman" w:hAnsi="Times New Roman" w:eastAsia="方正小标宋简体" w:cs="Times New Roman"/>
          <w:bCs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bCs/>
          <w:sz w:val="44"/>
          <w:szCs w:val="44"/>
          <w:highlight w:val="none"/>
        </w:rPr>
        <w:t>其他致死致残性单基因病产前诊断工作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default" w:ascii="Times New Roman" w:hAnsi="Times New Roman" w:eastAsia="方正小标宋简体" w:cs="Times New Roman"/>
          <w:bCs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bCs/>
          <w:sz w:val="44"/>
          <w:szCs w:val="44"/>
          <w:highlight w:val="none"/>
        </w:rPr>
        <w:t>流程图及病种目录（第一批）</w:t>
      </w:r>
    </w:p>
    <w:p>
      <w:pPr>
        <w:spacing w:line="640" w:lineRule="exact"/>
        <w:jc w:val="center"/>
        <w:rPr>
          <w:rFonts w:hint="default" w:ascii="Times New Roman" w:hAnsi="Times New Roman" w:eastAsia="方正小标宋简体" w:cs="Times New Roman"/>
          <w:bCs/>
          <w:sz w:val="44"/>
          <w:szCs w:val="44"/>
          <w:highlight w:val="none"/>
        </w:rPr>
      </w:pPr>
    </w:p>
    <w:p>
      <w:pPr>
        <w:rPr>
          <w:rFonts w:hint="default" w:ascii="Times New Roman" w:hAnsi="Times New Roman" w:cs="Times New Roman"/>
          <w:highlight w:val="none"/>
        </w:rPr>
      </w:pPr>
      <w:r>
        <w:rPr>
          <w:rFonts w:hint="default" w:ascii="Times New Roman" w:hAnsi="Times New Roman" w:cs="Times New Roman"/>
          <w:highlight w:val="none"/>
        </w:rPr>
        <w:drawing>
          <wp:inline distT="0" distB="0" distL="114300" distR="114300">
            <wp:extent cx="5686425" cy="2238375"/>
            <wp:effectExtent l="0" t="0" r="9525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600" w:lineRule="exact"/>
        <w:jc w:val="center"/>
        <w:rPr>
          <w:rFonts w:hint="default" w:ascii="Times New Roman" w:hAnsi="Times New Roman" w:cs="Times New Roman"/>
          <w:spacing w:val="10"/>
          <w:kern w:val="0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pacing w:val="10"/>
          <w:kern w:val="0"/>
          <w:sz w:val="28"/>
          <w:szCs w:val="28"/>
          <w:highlight w:val="none"/>
        </w:rPr>
        <w:t>广东省出生缺陷防控项目产前诊断补助单基因病种目录</w:t>
      </w:r>
    </w:p>
    <w:p>
      <w:pPr>
        <w:spacing w:line="600" w:lineRule="exact"/>
        <w:jc w:val="center"/>
        <w:rPr>
          <w:rFonts w:hint="default" w:ascii="Times New Roman" w:hAnsi="Times New Roman" w:cs="Times New Roman"/>
          <w:spacing w:val="10"/>
          <w:kern w:val="0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pacing w:val="10"/>
          <w:kern w:val="0"/>
          <w:sz w:val="28"/>
          <w:szCs w:val="28"/>
          <w:highlight w:val="none"/>
        </w:rPr>
        <w:t>（第一批，12种）</w:t>
      </w:r>
    </w:p>
    <w:tbl>
      <w:tblPr>
        <w:tblStyle w:val="2"/>
        <w:tblW w:w="8960" w:type="dxa"/>
        <w:jc w:val="center"/>
        <w:tblInd w:w="0" w:type="dxa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4"/>
        <w:gridCol w:w="2057"/>
        <w:gridCol w:w="2445"/>
        <w:gridCol w:w="2524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93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highlight w:val="none"/>
              </w:rPr>
              <w:t>病种（发病率）</w:t>
            </w:r>
          </w:p>
        </w:tc>
        <w:tc>
          <w:tcPr>
            <w:tcW w:w="205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highlight w:val="none"/>
              </w:rPr>
              <w:t>病种（发病率）</w:t>
            </w:r>
          </w:p>
        </w:tc>
        <w:tc>
          <w:tcPr>
            <w:tcW w:w="244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highlight w:val="none"/>
              </w:rPr>
              <w:t>病种（发病率）</w:t>
            </w:r>
          </w:p>
        </w:tc>
        <w:tc>
          <w:tcPr>
            <w:tcW w:w="252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highlight w:val="none"/>
              </w:rPr>
              <w:t>病种（发病率）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93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21-羟化酶缺乏症（1/10000）</w:t>
            </w:r>
          </w:p>
        </w:tc>
        <w:tc>
          <w:tcPr>
            <w:tcW w:w="205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白化病（1/18000）</w:t>
            </w:r>
          </w:p>
        </w:tc>
        <w:tc>
          <w:tcPr>
            <w:tcW w:w="244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高苯丙氨酸血症（1/10397）</w:t>
            </w:r>
          </w:p>
        </w:tc>
        <w:tc>
          <w:tcPr>
            <w:tcW w:w="252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Duchenne/Becker型肌营养不良（1/3853）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9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血友病（2.73/100000）</w:t>
            </w:r>
          </w:p>
        </w:tc>
        <w:tc>
          <w:tcPr>
            <w:tcW w:w="205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脊髓性肌萎缩症（1/6000）</w:t>
            </w:r>
          </w:p>
        </w:tc>
        <w:tc>
          <w:tcPr>
            <w:tcW w:w="24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甲基丙二酸血症（1/28000）</w:t>
            </w:r>
          </w:p>
        </w:tc>
        <w:tc>
          <w:tcPr>
            <w:tcW w:w="252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瓜氨酸血症（1/9200）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9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非综合征性耳聋（8/10000）</w:t>
            </w:r>
          </w:p>
        </w:tc>
        <w:tc>
          <w:tcPr>
            <w:tcW w:w="205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原发性肉碱缺乏症（3.1/10万）</w:t>
            </w:r>
          </w:p>
        </w:tc>
        <w:tc>
          <w:tcPr>
            <w:tcW w:w="24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视网膜色素变性（1/3784）</w:t>
            </w:r>
          </w:p>
        </w:tc>
        <w:tc>
          <w:tcPr>
            <w:tcW w:w="252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  <w:lang w:val="zh-TW" w:eastAsia="zh-TW"/>
              </w:rPr>
              <w:t>视网膜母细胞瘤（</w:t>
            </w:r>
            <w:r>
              <w:rPr>
                <w:rFonts w:hint="default" w:ascii="Times New Roman" w:hAnsi="Times New Roman" w:cs="Times New Roman"/>
                <w:sz w:val="24"/>
                <w:highlight w:val="none"/>
                <w:lang w:eastAsia="zh-TW"/>
              </w:rPr>
              <w:t>1/15000</w:t>
            </w:r>
            <w:r>
              <w:rPr>
                <w:rFonts w:hint="default" w:ascii="Times New Roman" w:hAnsi="Times New Roman" w:cs="Times New Roman"/>
                <w:sz w:val="24"/>
                <w:highlight w:val="none"/>
                <w:lang w:val="zh-TW" w:eastAsia="zh-TW"/>
              </w:rPr>
              <w:t>）</w:t>
            </w:r>
          </w:p>
        </w:tc>
      </w:tr>
    </w:tbl>
    <w:p>
      <w:pPr>
        <w:snapToGrid w:val="0"/>
        <w:spacing w:line="360" w:lineRule="auto"/>
        <w:ind w:firstLine="353" w:firstLineChars="158"/>
        <w:jc w:val="left"/>
        <w:rPr>
          <w:rFonts w:hint="default" w:ascii="Times New Roman" w:hAnsi="Times New Roman" w:cs="Times New Roman"/>
          <w:snapToGrid w:val="0"/>
          <w:kern w:val="0"/>
          <w:sz w:val="24"/>
          <w:highlight w:val="none"/>
        </w:rPr>
      </w:pPr>
    </w:p>
    <w:p>
      <w:pPr>
        <w:snapToGrid w:val="0"/>
        <w:spacing w:line="360" w:lineRule="auto"/>
        <w:ind w:firstLine="353" w:firstLineChars="158"/>
        <w:jc w:val="left"/>
        <w:rPr>
          <w:rFonts w:hint="default" w:ascii="Times New Roman" w:hAnsi="Times New Roman" w:cs="Times New Roman"/>
          <w:snapToGrid w:val="0"/>
          <w:kern w:val="0"/>
          <w:sz w:val="24"/>
          <w:highlight w:val="none"/>
        </w:rPr>
        <w:sectPr>
          <w:pgSz w:w="11906" w:h="16838"/>
          <w:pgMar w:top="2041" w:right="1531" w:bottom="2041" w:left="1531" w:header="851" w:footer="130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docGrid w:type="linesAndChars" w:linePitch="579" w:charSpace="-3633"/>
        </w:sectPr>
      </w:pPr>
      <w:r>
        <w:rPr>
          <w:rFonts w:hint="default" w:ascii="Times New Roman" w:hAnsi="Times New Roman" w:cs="Times New Roman"/>
          <w:snapToGrid w:val="0"/>
          <w:kern w:val="0"/>
          <w:sz w:val="24"/>
          <w:highlight w:val="none"/>
        </w:rPr>
        <w:t>备注：病种选取标准：依据国家卫健委发布的《罕见病诊疗指南（2018年版）》,选取121种疾病中中国人群患病率或发病率高于1/50000、基因诊断位点明确且可以进行产前诊断的疾病。患病率为一范围的取高值。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left"/>
        <w:textAlignment w:val="auto"/>
        <w:rPr>
          <w:rFonts w:hint="eastAsia" w:ascii="Times New Roman" w:hAnsi="Times New Roman" w:eastAsia="黑体" w:cs="Times New Roman"/>
          <w:snapToGrid w:val="0"/>
          <w:kern w:val="0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 w:cs="Times New Roman"/>
          <w:snapToGrid w:val="0"/>
          <w:kern w:val="0"/>
          <w:sz w:val="32"/>
          <w:szCs w:val="32"/>
          <w:highlight w:val="none"/>
          <w:lang w:eastAsia="zh-CN"/>
        </w:rPr>
        <w:t>附件</w:t>
      </w:r>
      <w:r>
        <w:rPr>
          <w:rFonts w:hint="eastAsia" w:ascii="Times New Roman" w:hAnsi="Times New Roman" w:eastAsia="黑体" w:cs="Times New Roman"/>
          <w:snapToGrid w:val="0"/>
          <w:kern w:val="0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Times New Roman" w:hAnsi="Times New Roman" w:eastAsia="黑体" w:cs="Times New Roman"/>
          <w:snapToGrid w:val="0"/>
          <w:kern w:val="0"/>
          <w:sz w:val="32"/>
          <w:szCs w:val="32"/>
          <w:highlight w:val="none"/>
          <w:lang w:eastAsia="zh-CN"/>
        </w:rPr>
        <w:t>-3</w:t>
      </w:r>
    </w:p>
    <w:p>
      <w:pPr>
        <w:rPr>
          <w:rFonts w:hint="default" w:ascii="Times New Roman" w:hAnsi="Times New Roman" w:eastAsia="黑体" w:cs="Times New Roman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default" w:ascii="Times New Roman" w:hAnsi="Times New Roman" w:eastAsia="方正小标宋简体" w:cs="Times New Roman"/>
          <w:bCs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bCs/>
          <w:sz w:val="44"/>
          <w:szCs w:val="44"/>
          <w:highlight w:val="none"/>
        </w:rPr>
        <w:t>唐氏综合征及其他严重致死致残性染色体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default" w:ascii="Times New Roman" w:hAnsi="Times New Roman" w:eastAsia="方正小标宋简体" w:cs="Times New Roman"/>
          <w:bCs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bCs/>
          <w:sz w:val="44"/>
          <w:szCs w:val="44"/>
          <w:highlight w:val="none"/>
        </w:rPr>
        <w:t>异常防控工作流程图</w:t>
      </w:r>
    </w:p>
    <w:p>
      <w:pPr>
        <w:spacing w:line="640" w:lineRule="exact"/>
        <w:jc w:val="center"/>
        <w:rPr>
          <w:rFonts w:hint="default" w:ascii="Times New Roman" w:hAnsi="Times New Roman" w:eastAsia="方正小标宋简体" w:cs="Times New Roman"/>
          <w:bCs/>
          <w:sz w:val="44"/>
          <w:szCs w:val="44"/>
          <w:highlight w:val="none"/>
        </w:rPr>
      </w:pPr>
    </w:p>
    <w:p>
      <w:pPr>
        <w:rPr>
          <w:rFonts w:hint="eastAsia" w:ascii="Times New Roman" w:hAnsi="Times New Roman" w:eastAsia="黑体" w:cs="Times New Roman"/>
          <w:snapToGrid w:val="0"/>
          <w:kern w:val="0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cs="Times New Roman"/>
          <w:sz w:val="44"/>
          <w:highlight w:val="none"/>
        </w:rPr>
        <w:drawing>
          <wp:inline distT="0" distB="0" distL="114300" distR="114300">
            <wp:extent cx="5610225" cy="4895850"/>
            <wp:effectExtent l="0" t="0" r="9525" b="0"/>
            <wp:docPr id="3" name="图片 3" descr="d45d9c52a1aab94d6f03864b6e60d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d45d9c52a1aab94d6f03864b6e60d7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489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方正小标宋简体" w:cs="Times New Roman"/>
          <w:sz w:val="36"/>
          <w:szCs w:val="16"/>
          <w:highlight w:val="none"/>
        </w:rPr>
        <w:br w:type="page"/>
      </w:r>
      <w:r>
        <w:rPr>
          <w:rFonts w:hint="eastAsia" w:ascii="Times New Roman" w:hAnsi="Times New Roman" w:eastAsia="黑体" w:cs="Times New Roman"/>
          <w:snapToGrid w:val="0"/>
          <w:kern w:val="0"/>
          <w:sz w:val="32"/>
          <w:szCs w:val="32"/>
          <w:highlight w:val="none"/>
          <w:lang w:eastAsia="zh-CN"/>
        </w:rPr>
        <w:t>附件</w:t>
      </w:r>
      <w:r>
        <w:rPr>
          <w:rFonts w:hint="eastAsia" w:ascii="Times New Roman" w:hAnsi="Times New Roman" w:eastAsia="黑体" w:cs="Times New Roman"/>
          <w:snapToGrid w:val="0"/>
          <w:kern w:val="0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Times New Roman" w:hAnsi="Times New Roman" w:eastAsia="黑体" w:cs="Times New Roman"/>
          <w:snapToGrid w:val="0"/>
          <w:kern w:val="0"/>
          <w:sz w:val="32"/>
          <w:szCs w:val="32"/>
          <w:highlight w:val="none"/>
          <w:lang w:eastAsia="zh-CN"/>
        </w:rPr>
        <w:t>-4</w:t>
      </w:r>
    </w:p>
    <w:p>
      <w:pPr>
        <w:rPr>
          <w:rFonts w:hint="default" w:ascii="Times New Roman" w:hAnsi="Times New Roman" w:eastAsia="黑体" w:cs="Times New Roman"/>
          <w:sz w:val="32"/>
          <w:szCs w:val="32"/>
          <w:highlight w:val="none"/>
        </w:rPr>
      </w:pPr>
    </w:p>
    <w:p>
      <w:pPr>
        <w:spacing w:line="640" w:lineRule="exact"/>
        <w:jc w:val="center"/>
        <w:rPr>
          <w:rFonts w:hint="default" w:ascii="Times New Roman" w:hAnsi="Times New Roman" w:eastAsia="方正小标宋简体" w:cs="Times New Roman"/>
          <w:bCs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bCs/>
          <w:sz w:val="44"/>
          <w:szCs w:val="44"/>
          <w:highlight w:val="none"/>
        </w:rPr>
        <w:t>严重致死致残性结构畸形防控工作流程图</w:t>
      </w:r>
    </w:p>
    <w:p>
      <w:pPr>
        <w:jc w:val="left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object>
          <v:shape id="_x0000_i1028" o:spt="75" type="#_x0000_t75" style="height:508.2pt;width:485.6pt;" o:ole="t" filled="f" o:preferrelative="t" stroked="f" coordsize="21600,21600">
            <v:path/>
            <v:fill on="f" focussize="0,0"/>
            <v:stroke on="f"/>
            <v:imagedata r:id="rId8" embosscolor="#FFFFFF" o:title=""/>
            <o:lock v:ext="edit" grouping="f" rotation="f" text="f" aspectratio="t"/>
            <w10:wrap type="none"/>
            <w10:anchorlock/>
          </v:shape>
          <o:OLEObject Type="Embed" ProgID="Visio.Drawing.11" ShapeID="_x0000_i1028" DrawAspect="Content" ObjectID="_1468075725" r:id="rId7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57" w:afterLines="50" w:line="560" w:lineRule="exact"/>
        <w:jc w:val="left"/>
        <w:textAlignment w:val="auto"/>
        <w:rPr>
          <w:rFonts w:hint="eastAsia" w:ascii="Times New Roman" w:hAnsi="Times New Roman" w:eastAsia="黑体" w:cs="Times New Roman"/>
          <w:snapToGrid w:val="0"/>
          <w:kern w:val="0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 w:cs="Times New Roman"/>
          <w:snapToGrid w:val="0"/>
          <w:kern w:val="0"/>
          <w:sz w:val="32"/>
          <w:szCs w:val="32"/>
          <w:highlight w:val="none"/>
          <w:lang w:eastAsia="zh-CN"/>
        </w:rPr>
        <w:t>附件</w:t>
      </w:r>
      <w:r>
        <w:rPr>
          <w:rFonts w:hint="eastAsia" w:ascii="Times New Roman" w:hAnsi="Times New Roman" w:eastAsia="黑体" w:cs="Times New Roman"/>
          <w:snapToGrid w:val="0"/>
          <w:kern w:val="0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Times New Roman" w:hAnsi="Times New Roman" w:eastAsia="黑体" w:cs="Times New Roman"/>
          <w:snapToGrid w:val="0"/>
          <w:kern w:val="0"/>
          <w:sz w:val="32"/>
          <w:szCs w:val="32"/>
          <w:highlight w:val="none"/>
          <w:lang w:eastAsia="zh-CN"/>
        </w:rPr>
        <w:t>-5</w:t>
      </w:r>
    </w:p>
    <w:p>
      <w:pPr>
        <w:spacing w:line="640" w:lineRule="exact"/>
        <w:jc w:val="center"/>
        <w:rPr>
          <w:rFonts w:hint="default" w:ascii="Times New Roman" w:hAnsi="Times New Roman" w:eastAsia="方正小标宋简体" w:cs="Times New Roman"/>
          <w:bCs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bCs/>
          <w:sz w:val="44"/>
          <w:szCs w:val="44"/>
          <w:highlight w:val="none"/>
        </w:rPr>
        <w:t>新生儿遗传代谢性疾病筛查工作流程图</w:t>
      </w:r>
    </w:p>
    <w:p>
      <w:pPr>
        <w:jc w:val="center"/>
        <w:rPr>
          <w:rFonts w:hint="default" w:ascii="Times New Roman" w:hAnsi="Times New Roman" w:eastAsia="方正小标宋简体" w:cs="Times New Roman"/>
          <w:sz w:val="36"/>
          <w:szCs w:val="16"/>
          <w:highlight w:val="none"/>
        </w:rPr>
      </w:pPr>
      <w:r>
        <w:rPr>
          <w:rFonts w:hint="default" w:ascii="Times New Roman" w:hAnsi="Times New Roman" w:cs="Times New Roman"/>
          <w:highlight w:val="none"/>
        </w:rPr>
        <w:drawing>
          <wp:inline distT="0" distB="0" distL="114300" distR="114300">
            <wp:extent cx="4972050" cy="6943725"/>
            <wp:effectExtent l="0" t="0" r="0" b="9525"/>
            <wp:docPr id="4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5"/>
                    <pic:cNvPicPr>
                      <a:picLocks noChangeAspect="1"/>
                    </pic:cNvPicPr>
                  </pic:nvPicPr>
                  <pic:blipFill>
                    <a:blip r:embed="rId9"/>
                    <a:srcRect l="28229" t="7738" r="22723" b="5670"/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694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left"/>
        <w:textAlignment w:val="auto"/>
        <w:rPr>
          <w:rFonts w:hint="eastAsia" w:ascii="Times New Roman" w:hAnsi="Times New Roman" w:eastAsia="黑体" w:cs="Times New Roman"/>
          <w:snapToGrid w:val="0"/>
          <w:kern w:val="0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 w:cs="Times New Roman"/>
          <w:snapToGrid w:val="0"/>
          <w:kern w:val="0"/>
          <w:sz w:val="32"/>
          <w:szCs w:val="32"/>
          <w:highlight w:val="none"/>
          <w:lang w:eastAsia="zh-CN"/>
        </w:rPr>
        <w:t>附件</w:t>
      </w:r>
      <w:r>
        <w:rPr>
          <w:rFonts w:hint="eastAsia" w:ascii="Times New Roman" w:hAnsi="Times New Roman" w:eastAsia="黑体" w:cs="Times New Roman"/>
          <w:snapToGrid w:val="0"/>
          <w:kern w:val="0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Times New Roman" w:hAnsi="Times New Roman" w:eastAsia="黑体" w:cs="Times New Roman"/>
          <w:snapToGrid w:val="0"/>
          <w:kern w:val="0"/>
          <w:sz w:val="32"/>
          <w:szCs w:val="32"/>
          <w:highlight w:val="none"/>
          <w:lang w:eastAsia="zh-CN"/>
        </w:rPr>
        <w:t xml:space="preserve">-6 </w:t>
      </w:r>
    </w:p>
    <w:p>
      <w:pPr>
        <w:spacing w:line="560" w:lineRule="exact"/>
        <w:rPr>
          <w:rFonts w:hint="default" w:ascii="Times New Roman" w:hAnsi="Times New Roman" w:eastAsia="黑体" w:cs="Times New Roman"/>
          <w:bCs/>
          <w:sz w:val="32"/>
          <w:szCs w:val="32"/>
          <w:highlight w:val="none"/>
        </w:rPr>
      </w:pPr>
    </w:p>
    <w:p>
      <w:pPr>
        <w:spacing w:line="640" w:lineRule="exact"/>
        <w:jc w:val="center"/>
        <w:rPr>
          <w:rFonts w:hint="default" w:ascii="Times New Roman" w:hAnsi="Times New Roman" w:eastAsia="方正小标宋简体" w:cs="Times New Roman"/>
          <w:bCs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bCs/>
          <w:sz w:val="44"/>
          <w:szCs w:val="44"/>
          <w:highlight w:val="none"/>
        </w:rPr>
        <w:t>新生儿听力筛查工作流程图</w:t>
      </w:r>
    </w:p>
    <w:p>
      <w:pPr>
        <w:rPr>
          <w:rFonts w:hint="default" w:ascii="Times New Roman" w:hAnsi="Times New Roman" w:cs="Times New Roman"/>
          <w:b/>
          <w:sz w:val="36"/>
          <w:szCs w:val="16"/>
          <w:highlight w:val="none"/>
        </w:rPr>
      </w:pPr>
    </w:p>
    <w:p>
      <w:pPr>
        <w:spacing w:line="360" w:lineRule="auto"/>
        <w:jc w:val="center"/>
        <w:rPr>
          <w:rFonts w:hint="default" w:ascii="Times New Roman" w:hAnsi="Times New Roman" w:cs="Times New Roman"/>
          <w:sz w:val="18"/>
          <w:szCs w:val="18"/>
          <w:highlight w:val="none"/>
        </w:rPr>
      </w:pPr>
      <w:r>
        <w:rPr>
          <w:rFonts w:hint="default" w:ascii="Times New Roman" w:hAnsi="Times New Roman" w:cs="Times New Roman"/>
          <w:highlight w:val="none"/>
        </w:rPr>
        <w:drawing>
          <wp:inline distT="0" distB="0" distL="114300" distR="114300">
            <wp:extent cx="4886325" cy="6210300"/>
            <wp:effectExtent l="0" t="0" r="9525" b="0"/>
            <wp:docPr id="5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6"/>
                    <pic:cNvPicPr>
                      <a:picLocks noChangeAspect="1"/>
                    </pic:cNvPicPr>
                  </pic:nvPicPr>
                  <pic:blipFill>
                    <a:blip r:embed="rId10"/>
                    <a:srcRect l="26169" t="12379" r="25487" b="10689"/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621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left"/>
        <w:textAlignment w:val="auto"/>
        <w:rPr>
          <w:rFonts w:hint="eastAsia" w:ascii="Times New Roman" w:hAnsi="Times New Roman" w:eastAsia="黑体" w:cs="Times New Roman"/>
          <w:snapToGrid w:val="0"/>
          <w:kern w:val="0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 w:cs="Times New Roman"/>
          <w:snapToGrid w:val="0"/>
          <w:kern w:val="0"/>
          <w:sz w:val="32"/>
          <w:szCs w:val="32"/>
          <w:highlight w:val="none"/>
          <w:lang w:eastAsia="zh-CN"/>
        </w:rPr>
        <w:t>附件</w:t>
      </w:r>
      <w:r>
        <w:rPr>
          <w:rFonts w:hint="eastAsia" w:ascii="Times New Roman" w:hAnsi="Times New Roman" w:eastAsia="黑体" w:cs="Times New Roman"/>
          <w:snapToGrid w:val="0"/>
          <w:kern w:val="0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Times New Roman" w:hAnsi="Times New Roman" w:eastAsia="黑体" w:cs="Times New Roman"/>
          <w:snapToGrid w:val="0"/>
          <w:kern w:val="0"/>
          <w:sz w:val="32"/>
          <w:szCs w:val="32"/>
          <w:highlight w:val="none"/>
          <w:lang w:eastAsia="zh-CN"/>
        </w:rPr>
        <w:t>-7</w:t>
      </w:r>
    </w:p>
    <w:p>
      <w:pPr>
        <w:spacing w:line="560" w:lineRule="exact"/>
        <w:rPr>
          <w:rFonts w:hint="default" w:ascii="Times New Roman" w:hAnsi="Times New Roman" w:eastAsia="黑体" w:cs="Times New Roman"/>
          <w:bCs/>
          <w:sz w:val="32"/>
          <w:szCs w:val="32"/>
          <w:highlight w:val="none"/>
        </w:rPr>
      </w:pPr>
    </w:p>
    <w:p>
      <w:pPr>
        <w:spacing w:line="640" w:lineRule="exact"/>
        <w:jc w:val="center"/>
        <w:rPr>
          <w:rFonts w:hint="default" w:ascii="Times New Roman" w:hAnsi="Times New Roman" w:eastAsia="方正小标宋简体" w:cs="Times New Roman"/>
          <w:bCs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bCs/>
          <w:sz w:val="44"/>
          <w:szCs w:val="44"/>
          <w:highlight w:val="none"/>
        </w:rPr>
        <w:t>早产儿视网膜病变诊查工作流程图</w:t>
      </w:r>
    </w:p>
    <w:p>
      <w:pPr>
        <w:widowControl/>
        <w:jc w:val="left"/>
        <w:rPr>
          <w:rFonts w:hint="default" w:ascii="Times New Roman" w:hAnsi="Times New Roman" w:eastAsia="方正小标宋简体" w:cs="Times New Roman"/>
          <w:spacing w:val="10"/>
          <w:kern w:val="0"/>
          <w:sz w:val="36"/>
          <w:szCs w:val="36"/>
          <w:highlight w:val="none"/>
        </w:rPr>
      </w:pPr>
    </w:p>
    <w:p>
      <w:pPr>
        <w:widowControl/>
        <w:jc w:val="center"/>
        <w:rPr>
          <w:rFonts w:hint="default" w:ascii="Times New Roman" w:hAnsi="Times New Roman" w:eastAsia="方正小标宋简体" w:cs="Times New Roman"/>
          <w:spacing w:val="10"/>
          <w:kern w:val="0"/>
          <w:sz w:val="36"/>
          <w:szCs w:val="36"/>
          <w:highlight w:val="none"/>
        </w:rPr>
      </w:pPr>
      <w:r>
        <w:rPr>
          <w:rFonts w:hint="default" w:ascii="Times New Roman" w:hAnsi="Times New Roman" w:cs="Times New Roman"/>
          <w:highlight w:val="none"/>
        </w:rPr>
        <w:object>
          <v:shape id="_x0000_i1031" o:spt="75" type="#_x0000_t75" style="height:385pt;width:317.95pt;" o:ole="t" filled="f" o:preferrelative="t" stroked="f" coordsize="21600,21600">
            <v:path/>
            <v:fill on="f" focussize="0,0"/>
            <v:stroke on="f"/>
            <v:imagedata r:id="rId12" embosscolor="#FFFFFF" o:title=""/>
            <o:lock v:ext="edit" grouping="f" rotation="f" text="f" aspectratio="t"/>
            <w10:wrap type="none"/>
            <w10:anchorlock/>
          </v:shape>
          <o:OLEObject Type="Embed" ProgID="Visio.Drawing.11" ShapeID="_x0000_i1031" DrawAspect="Content" ObjectID="_1468075726" r:id="rId11">
            <o:LockedField>false</o:LockedField>
          </o:OLEObject>
        </w:object>
      </w:r>
    </w:p>
    <w:p>
      <w:bookmarkStart w:id="0" w:name="_GoBack"/>
      <w:bookmarkEnd w:id="0"/>
    </w:p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A42FF8"/>
    <w:rsid w:val="17A42FF8"/>
    <w:rsid w:val="45CA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emf"/><Relationship Id="rId7" Type="http://schemas.openxmlformats.org/officeDocument/2006/relationships/oleObject" Target="embeddings/oleObject1.bin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7.emf"/><Relationship Id="rId11" Type="http://schemas.openxmlformats.org/officeDocument/2006/relationships/oleObject" Target="embeddings/oleObject2.bin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省卫生和计划生育委员会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2021-01-05T01:09:00Z</dcterms:created>
  <dc:creator>eva</dc:creator>
  <cp:lastModifiedBy>eva</cp:lastModifiedBy>
  <dcterms:modified xsi:type="dcterms:W3CDTF">2021-01-05T01:09:59Z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