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b w:val="0"/>
          <w:bCs/>
          <w:i w:val="0"/>
          <w:color w:val="000000"/>
          <w:kern w:val="0"/>
          <w:sz w:val="32"/>
          <w:szCs w:val="32"/>
          <w:u w:val="none"/>
          <w:lang w:val="en-US" w:eastAsia="zh-CN" w:bidi="ar"/>
        </w:rPr>
      </w:pPr>
      <w:bookmarkStart w:id="0" w:name="_GoBack"/>
      <w:r>
        <w:rPr>
          <w:rFonts w:hint="default" w:ascii="Times New Roman" w:hAnsi="Times New Roman" w:eastAsia="黑体" w:cs="Times New Roman"/>
          <w:b w:val="0"/>
          <w:bCs/>
          <w:i w:val="0"/>
          <w:color w:val="000000"/>
          <w:kern w:val="0"/>
          <w:sz w:val="32"/>
          <w:szCs w:val="32"/>
          <w:u w:val="none"/>
          <w:lang w:val="en-US" w:eastAsia="zh-CN" w:bidi="ar"/>
        </w:rPr>
        <w:t>附件2</w:t>
      </w:r>
    </w:p>
    <w:p>
      <w:pPr>
        <w:jc w:val="center"/>
        <w:rPr>
          <w:rFonts w:hint="eastAsia" w:ascii="方正小标宋简体" w:hAnsi="方正小标宋简体" w:eastAsia="方正小标宋简体" w:cs="方正小标宋简体"/>
          <w:i w:val="0"/>
          <w:color w:val="000000"/>
          <w:kern w:val="0"/>
          <w:sz w:val="40"/>
          <w:szCs w:val="40"/>
          <w:u w:val="none"/>
          <w:lang w:val="en-US" w:eastAsia="zh-CN" w:bidi="ar"/>
        </w:rPr>
      </w:pPr>
      <w:r>
        <w:rPr>
          <w:rFonts w:hint="eastAsia" w:ascii="方正小标宋简体" w:hAnsi="方正小标宋简体" w:eastAsia="方正小标宋简体" w:cs="方正小标宋简体"/>
          <w:i w:val="0"/>
          <w:color w:val="000000"/>
          <w:kern w:val="0"/>
          <w:sz w:val="40"/>
          <w:szCs w:val="40"/>
          <w:u w:val="none"/>
          <w:lang w:val="en-US" w:eastAsia="zh-CN" w:bidi="ar"/>
        </w:rPr>
        <w:t>广东省卫生健康委员会重大行政执法事项目录清单</w:t>
      </w:r>
    </w:p>
    <w:bookmarkEnd w:id="0"/>
    <w:p>
      <w:pPr>
        <w:jc w:val="center"/>
        <w:rPr>
          <w:rFonts w:hint="eastAsia" w:ascii="方正小标宋简体" w:hAnsi="方正小标宋简体" w:eastAsia="方正小标宋简体" w:cs="方正小标宋简体"/>
          <w:i w:val="0"/>
          <w:color w:val="000000"/>
          <w:kern w:val="0"/>
          <w:sz w:val="40"/>
          <w:szCs w:val="40"/>
          <w:u w:val="none"/>
          <w:lang w:val="en-US" w:eastAsia="zh-CN" w:bidi="ar"/>
        </w:rPr>
      </w:pPr>
    </w:p>
    <w:tbl>
      <w:tblPr>
        <w:tblStyle w:val="2"/>
        <w:tblW w:w="14114" w:type="dxa"/>
        <w:jc w:val="center"/>
        <w:tblInd w:w="-1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02"/>
        <w:gridCol w:w="1408"/>
        <w:gridCol w:w="960"/>
        <w:gridCol w:w="3032"/>
        <w:gridCol w:w="3928"/>
        <w:gridCol w:w="39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40" w:hRule="atLeast"/>
          <w:tblHeader/>
          <w:jc w:val="center"/>
        </w:trPr>
        <w:tc>
          <w:tcPr>
            <w:tcW w:w="802"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jc w:val="center"/>
              <w:rPr>
                <w:rFonts w:hint="default" w:ascii="Times New Roman" w:hAnsi="Times New Roman" w:eastAsia="黑体" w:cs="Times New Roman"/>
                <w:i w:val="0"/>
                <w:color w:val="000000"/>
                <w:sz w:val="28"/>
                <w:szCs w:val="28"/>
                <w:u w:val="none"/>
              </w:rPr>
            </w:pPr>
            <w:r>
              <w:rPr>
                <w:rFonts w:hint="default" w:ascii="Times New Roman" w:hAnsi="Times New Roman" w:eastAsia="黑体" w:cs="Times New Roman"/>
                <w:i w:val="0"/>
                <w:color w:val="000000"/>
                <w:kern w:val="0"/>
                <w:sz w:val="28"/>
                <w:szCs w:val="28"/>
                <w:u w:val="none"/>
                <w:lang w:val="en-US" w:eastAsia="zh-CN" w:bidi="ar"/>
              </w:rPr>
              <w:t>序号</w:t>
            </w:r>
          </w:p>
        </w:tc>
        <w:tc>
          <w:tcPr>
            <w:tcW w:w="1408"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8"/>
                <w:szCs w:val="28"/>
                <w:u w:val="none"/>
              </w:rPr>
            </w:pPr>
            <w:r>
              <w:rPr>
                <w:rFonts w:hint="default" w:ascii="Times New Roman" w:hAnsi="Times New Roman" w:eastAsia="黑体" w:cs="Times New Roman"/>
                <w:i w:val="0"/>
                <w:color w:val="000000"/>
                <w:kern w:val="0"/>
                <w:sz w:val="28"/>
                <w:szCs w:val="28"/>
                <w:u w:val="none"/>
                <w:lang w:val="en-US" w:eastAsia="zh-CN" w:bidi="ar"/>
              </w:rPr>
              <w:t>执法类别</w:t>
            </w:r>
          </w:p>
        </w:tc>
        <w:tc>
          <w:tcPr>
            <w:tcW w:w="3992" w:type="dxa"/>
            <w:gridSpan w:val="2"/>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8"/>
                <w:szCs w:val="28"/>
                <w:u w:val="none"/>
              </w:rPr>
            </w:pPr>
            <w:r>
              <w:rPr>
                <w:rFonts w:hint="default" w:ascii="Times New Roman" w:hAnsi="Times New Roman" w:eastAsia="黑体" w:cs="Times New Roman"/>
                <w:i w:val="0"/>
                <w:color w:val="000000"/>
                <w:kern w:val="0"/>
                <w:sz w:val="28"/>
                <w:szCs w:val="28"/>
                <w:u w:val="none"/>
                <w:lang w:val="en-US" w:eastAsia="zh-CN" w:bidi="ar"/>
              </w:rPr>
              <w:t>执法事项</w:t>
            </w:r>
          </w:p>
        </w:tc>
        <w:tc>
          <w:tcPr>
            <w:tcW w:w="3928" w:type="dxa"/>
            <w:tcBorders>
              <w:top w:val="single" w:color="000000" w:sz="8" w:space="0"/>
              <w:left w:val="single" w:color="000000" w:sz="8" w:space="0"/>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8"/>
                <w:szCs w:val="28"/>
                <w:u w:val="none"/>
              </w:rPr>
            </w:pPr>
            <w:r>
              <w:rPr>
                <w:rFonts w:hint="default" w:ascii="Times New Roman" w:hAnsi="Times New Roman" w:eastAsia="黑体" w:cs="Times New Roman"/>
                <w:i w:val="0"/>
                <w:color w:val="000000"/>
                <w:kern w:val="0"/>
                <w:sz w:val="28"/>
                <w:szCs w:val="28"/>
                <w:u w:val="none"/>
                <w:lang w:val="en-US" w:eastAsia="zh-CN" w:bidi="ar"/>
              </w:rPr>
              <w:t>执法依据</w:t>
            </w:r>
          </w:p>
        </w:tc>
        <w:tc>
          <w:tcPr>
            <w:tcW w:w="3984" w:type="dxa"/>
            <w:tcBorders>
              <w:top w:val="single" w:color="000000" w:sz="8" w:space="0"/>
              <w:left w:val="single" w:color="000000" w:sz="8" w:space="0"/>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8"/>
                <w:szCs w:val="28"/>
                <w:u w:val="none"/>
              </w:rPr>
            </w:pPr>
            <w:r>
              <w:rPr>
                <w:rFonts w:hint="default" w:ascii="Times New Roman" w:hAnsi="Times New Roman" w:eastAsia="黑体" w:cs="Times New Roman"/>
                <w:i w:val="0"/>
                <w:color w:val="000000"/>
                <w:kern w:val="0"/>
                <w:sz w:val="28"/>
                <w:szCs w:val="28"/>
                <w:u w:val="none"/>
                <w:lang w:val="en-US" w:eastAsia="zh-CN" w:bidi="ar"/>
              </w:rPr>
              <w:t>认定标准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60" w:hRule="atLeast"/>
          <w:jc w:val="center"/>
        </w:trPr>
        <w:tc>
          <w:tcPr>
            <w:tcW w:w="802"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8"/>
                <w:szCs w:val="28"/>
                <w:u w:val="none"/>
              </w:rPr>
            </w:pPr>
            <w:r>
              <w:rPr>
                <w:rFonts w:hint="default" w:ascii="Times New Roman" w:hAnsi="Times New Roman" w:eastAsia="黑体" w:cs="Times New Roman"/>
                <w:i w:val="0"/>
                <w:color w:val="000000"/>
                <w:kern w:val="0"/>
                <w:sz w:val="28"/>
                <w:szCs w:val="28"/>
                <w:u w:val="none"/>
                <w:lang w:val="en-US" w:eastAsia="zh-CN" w:bidi="ar"/>
              </w:rPr>
              <w:t>1</w:t>
            </w:r>
          </w:p>
        </w:tc>
        <w:tc>
          <w:tcPr>
            <w:tcW w:w="1408" w:type="dxa"/>
            <w:vMerge w:val="restart"/>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行政处罚</w:t>
            </w:r>
          </w:p>
        </w:tc>
        <w:tc>
          <w:tcPr>
            <w:tcW w:w="960" w:type="dxa"/>
            <w:vMerge w:val="restart"/>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本委直接实施</w:t>
            </w:r>
          </w:p>
        </w:tc>
        <w:tc>
          <w:tcPr>
            <w:tcW w:w="3032"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对已经取得资质认可的职业卫生技术服务机构，不再符合规定的资质条件的违法行为的处罚</w:t>
            </w:r>
          </w:p>
        </w:tc>
        <w:tc>
          <w:tcPr>
            <w:tcW w:w="3928"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《职业卫生技术服务机构监督管理暂行办法》（2015年修正）第四十七条</w:t>
            </w:r>
          </w:p>
        </w:tc>
        <w:tc>
          <w:tcPr>
            <w:tcW w:w="3984" w:type="dxa"/>
            <w:vMerge w:val="restart"/>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适用一般程序作出行政处罚决定的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0" w:hRule="atLeast"/>
          <w:jc w:val="center"/>
        </w:trPr>
        <w:tc>
          <w:tcPr>
            <w:tcW w:w="802"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8"/>
                <w:szCs w:val="28"/>
                <w:u w:val="none"/>
              </w:rPr>
            </w:pPr>
            <w:r>
              <w:rPr>
                <w:rFonts w:hint="default" w:ascii="Times New Roman" w:hAnsi="Times New Roman" w:eastAsia="黑体" w:cs="Times New Roman"/>
                <w:i w:val="0"/>
                <w:color w:val="000000"/>
                <w:kern w:val="0"/>
                <w:sz w:val="28"/>
                <w:szCs w:val="28"/>
                <w:u w:val="none"/>
                <w:lang w:val="en-US" w:eastAsia="zh-CN" w:bidi="ar"/>
              </w:rPr>
              <w:t>2</w:t>
            </w:r>
          </w:p>
        </w:tc>
        <w:tc>
          <w:tcPr>
            <w:tcW w:w="1408" w:type="dxa"/>
            <w:vMerge w:val="continue"/>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jc w:val="center"/>
              <w:rPr>
                <w:rFonts w:hint="default" w:ascii="Times New Roman" w:hAnsi="Times New Roman" w:eastAsia="宋体" w:cs="Times New Roman"/>
                <w:i w:val="0"/>
                <w:color w:val="000000"/>
                <w:sz w:val="28"/>
                <w:szCs w:val="28"/>
                <w:u w:val="none"/>
              </w:rPr>
            </w:pPr>
          </w:p>
        </w:tc>
        <w:tc>
          <w:tcPr>
            <w:tcW w:w="960" w:type="dxa"/>
            <w:vMerge w:val="continue"/>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jc w:val="center"/>
              <w:rPr>
                <w:rFonts w:hint="default" w:ascii="Times New Roman" w:hAnsi="Times New Roman" w:eastAsia="宋体" w:cs="Times New Roman"/>
                <w:i w:val="0"/>
                <w:color w:val="000000"/>
                <w:sz w:val="28"/>
                <w:szCs w:val="28"/>
                <w:u w:val="none"/>
              </w:rPr>
            </w:pPr>
          </w:p>
        </w:tc>
        <w:tc>
          <w:tcPr>
            <w:tcW w:w="3032"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对非法开展人类辅助生殖技术的行为的行政处罚</w:t>
            </w:r>
          </w:p>
        </w:tc>
        <w:tc>
          <w:tcPr>
            <w:tcW w:w="3928"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《人类辅助生殖技术管理办法》第二十二条</w:t>
            </w:r>
          </w:p>
        </w:tc>
        <w:tc>
          <w:tcPr>
            <w:tcW w:w="3984" w:type="dxa"/>
            <w:vMerge w:val="continue"/>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jc w:val="left"/>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0" w:hRule="atLeast"/>
          <w:jc w:val="center"/>
        </w:trPr>
        <w:tc>
          <w:tcPr>
            <w:tcW w:w="802"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8"/>
                <w:szCs w:val="28"/>
                <w:u w:val="none"/>
              </w:rPr>
            </w:pPr>
            <w:r>
              <w:rPr>
                <w:rFonts w:hint="default" w:ascii="Times New Roman" w:hAnsi="Times New Roman" w:eastAsia="黑体" w:cs="Times New Roman"/>
                <w:i w:val="0"/>
                <w:color w:val="000000"/>
                <w:kern w:val="0"/>
                <w:sz w:val="28"/>
                <w:szCs w:val="28"/>
                <w:u w:val="none"/>
                <w:lang w:val="en-US" w:eastAsia="zh-CN" w:bidi="ar"/>
              </w:rPr>
              <w:t>3</w:t>
            </w:r>
          </w:p>
        </w:tc>
        <w:tc>
          <w:tcPr>
            <w:tcW w:w="1408" w:type="dxa"/>
            <w:vMerge w:val="continue"/>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jc w:val="center"/>
              <w:rPr>
                <w:rFonts w:hint="default" w:ascii="Times New Roman" w:hAnsi="Times New Roman" w:eastAsia="宋体" w:cs="Times New Roman"/>
                <w:i w:val="0"/>
                <w:color w:val="000000"/>
                <w:sz w:val="28"/>
                <w:szCs w:val="28"/>
                <w:u w:val="none"/>
              </w:rPr>
            </w:pPr>
          </w:p>
        </w:tc>
        <w:tc>
          <w:tcPr>
            <w:tcW w:w="960" w:type="dxa"/>
            <w:vMerge w:val="continue"/>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jc w:val="center"/>
              <w:rPr>
                <w:rFonts w:hint="default" w:ascii="Times New Roman" w:hAnsi="Times New Roman" w:eastAsia="宋体" w:cs="Times New Roman"/>
                <w:i w:val="0"/>
                <w:color w:val="000000"/>
                <w:sz w:val="28"/>
                <w:szCs w:val="28"/>
                <w:u w:val="none"/>
              </w:rPr>
            </w:pPr>
          </w:p>
        </w:tc>
        <w:tc>
          <w:tcPr>
            <w:tcW w:w="3032"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对违反《人类精子库管理办法》的行为的行政处罚</w:t>
            </w:r>
          </w:p>
        </w:tc>
        <w:tc>
          <w:tcPr>
            <w:tcW w:w="3928"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《人类精子库管理办法》第15号第二十四条</w:t>
            </w:r>
          </w:p>
        </w:tc>
        <w:tc>
          <w:tcPr>
            <w:tcW w:w="3984" w:type="dxa"/>
            <w:vMerge w:val="continue"/>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jc w:val="left"/>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0" w:hRule="atLeast"/>
          <w:jc w:val="center"/>
        </w:trPr>
        <w:tc>
          <w:tcPr>
            <w:tcW w:w="802"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8"/>
                <w:szCs w:val="28"/>
                <w:u w:val="none"/>
              </w:rPr>
            </w:pPr>
            <w:r>
              <w:rPr>
                <w:rFonts w:hint="default" w:ascii="Times New Roman" w:hAnsi="Times New Roman" w:eastAsia="黑体" w:cs="Times New Roman"/>
                <w:i w:val="0"/>
                <w:color w:val="000000"/>
                <w:kern w:val="0"/>
                <w:sz w:val="28"/>
                <w:szCs w:val="28"/>
                <w:u w:val="none"/>
                <w:lang w:val="en-US" w:eastAsia="zh-CN" w:bidi="ar"/>
              </w:rPr>
              <w:t>4</w:t>
            </w:r>
          </w:p>
        </w:tc>
        <w:tc>
          <w:tcPr>
            <w:tcW w:w="1408" w:type="dxa"/>
            <w:vMerge w:val="continue"/>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jc w:val="center"/>
              <w:rPr>
                <w:rFonts w:hint="default" w:ascii="Times New Roman" w:hAnsi="Times New Roman" w:eastAsia="宋体" w:cs="Times New Roman"/>
                <w:i w:val="0"/>
                <w:color w:val="000000"/>
                <w:sz w:val="28"/>
                <w:szCs w:val="28"/>
                <w:u w:val="none"/>
              </w:rPr>
            </w:pPr>
          </w:p>
        </w:tc>
        <w:tc>
          <w:tcPr>
            <w:tcW w:w="960" w:type="dxa"/>
            <w:vMerge w:val="continue"/>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jc w:val="center"/>
              <w:rPr>
                <w:rFonts w:hint="default" w:ascii="Times New Roman" w:hAnsi="Times New Roman" w:eastAsia="宋体" w:cs="Times New Roman"/>
                <w:i w:val="0"/>
                <w:color w:val="000000"/>
                <w:sz w:val="28"/>
                <w:szCs w:val="28"/>
                <w:u w:val="none"/>
              </w:rPr>
            </w:pPr>
          </w:p>
        </w:tc>
        <w:tc>
          <w:tcPr>
            <w:tcW w:w="3032"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对发布虚假医疗广告的行为的行政处罚</w:t>
            </w:r>
          </w:p>
        </w:tc>
        <w:tc>
          <w:tcPr>
            <w:tcW w:w="3928"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《中华人民共和国广告法》（2015年修订）第五十五条、第五十八条</w:t>
            </w:r>
          </w:p>
        </w:tc>
        <w:tc>
          <w:tcPr>
            <w:tcW w:w="3984" w:type="dxa"/>
            <w:vMerge w:val="continue"/>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jc w:val="left"/>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40" w:hRule="atLeast"/>
          <w:jc w:val="center"/>
        </w:trPr>
        <w:tc>
          <w:tcPr>
            <w:tcW w:w="802"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8"/>
                <w:szCs w:val="28"/>
                <w:u w:val="none"/>
              </w:rPr>
            </w:pPr>
            <w:r>
              <w:rPr>
                <w:rFonts w:hint="default" w:ascii="Times New Roman" w:hAnsi="Times New Roman" w:eastAsia="黑体" w:cs="Times New Roman"/>
                <w:i w:val="0"/>
                <w:color w:val="000000"/>
                <w:kern w:val="0"/>
                <w:sz w:val="28"/>
                <w:szCs w:val="28"/>
                <w:u w:val="none"/>
                <w:lang w:val="en-US" w:eastAsia="zh-CN" w:bidi="ar"/>
              </w:rPr>
              <w:t>5</w:t>
            </w:r>
          </w:p>
        </w:tc>
        <w:tc>
          <w:tcPr>
            <w:tcW w:w="1408" w:type="dxa"/>
            <w:vMerge w:val="continue"/>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jc w:val="center"/>
              <w:rPr>
                <w:rFonts w:hint="default" w:ascii="Times New Roman" w:hAnsi="Times New Roman" w:eastAsia="宋体" w:cs="Times New Roman"/>
                <w:i w:val="0"/>
                <w:color w:val="000000"/>
                <w:sz w:val="28"/>
                <w:szCs w:val="28"/>
                <w:u w:val="none"/>
              </w:rPr>
            </w:pPr>
          </w:p>
        </w:tc>
        <w:tc>
          <w:tcPr>
            <w:tcW w:w="960" w:type="dxa"/>
            <w:vMerge w:val="continue"/>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jc w:val="center"/>
              <w:rPr>
                <w:rFonts w:hint="default" w:ascii="Times New Roman" w:hAnsi="Times New Roman" w:eastAsia="宋体" w:cs="Times New Roman"/>
                <w:i w:val="0"/>
                <w:color w:val="000000"/>
                <w:sz w:val="28"/>
                <w:szCs w:val="28"/>
                <w:u w:val="none"/>
              </w:rPr>
            </w:pPr>
          </w:p>
        </w:tc>
        <w:tc>
          <w:tcPr>
            <w:tcW w:w="3032"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对职业卫生技术服务机构以不正当手段申请资质、办理资质延续、取得资质证书等违法行为的处罚</w:t>
            </w:r>
          </w:p>
        </w:tc>
        <w:tc>
          <w:tcPr>
            <w:tcW w:w="3928"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《职业卫生技术服务机构监督管理暂行办法》（2015年修正）第四十二条</w:t>
            </w:r>
          </w:p>
        </w:tc>
        <w:tc>
          <w:tcPr>
            <w:tcW w:w="3984" w:type="dxa"/>
            <w:vMerge w:val="continue"/>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jc w:val="left"/>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jc w:val="center"/>
        </w:trPr>
        <w:tc>
          <w:tcPr>
            <w:tcW w:w="802"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8"/>
                <w:szCs w:val="28"/>
                <w:u w:val="none"/>
              </w:rPr>
            </w:pPr>
            <w:r>
              <w:rPr>
                <w:rFonts w:hint="default" w:ascii="Times New Roman" w:hAnsi="Times New Roman" w:eastAsia="黑体" w:cs="Times New Roman"/>
                <w:i w:val="0"/>
                <w:color w:val="000000"/>
                <w:kern w:val="0"/>
                <w:sz w:val="28"/>
                <w:szCs w:val="28"/>
                <w:u w:val="none"/>
                <w:lang w:val="en-US" w:eastAsia="zh-CN" w:bidi="ar"/>
              </w:rPr>
              <w:t>6</w:t>
            </w:r>
          </w:p>
        </w:tc>
        <w:tc>
          <w:tcPr>
            <w:tcW w:w="1408" w:type="dxa"/>
            <w:vMerge w:val="continue"/>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jc w:val="center"/>
              <w:rPr>
                <w:rFonts w:hint="default" w:ascii="Times New Roman" w:hAnsi="Times New Roman" w:eastAsia="宋体" w:cs="Times New Roman"/>
                <w:i w:val="0"/>
                <w:color w:val="000000"/>
                <w:sz w:val="28"/>
                <w:szCs w:val="28"/>
                <w:u w:val="none"/>
              </w:rPr>
            </w:pPr>
          </w:p>
        </w:tc>
        <w:tc>
          <w:tcPr>
            <w:tcW w:w="960"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由市县 实施属地执法</w:t>
            </w:r>
          </w:p>
        </w:tc>
        <w:tc>
          <w:tcPr>
            <w:tcW w:w="3032"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对以不正当手段取得医师执业证书、非法采集血液或者组织他人出卖血液等其他卫生健康行政违法事项的处罚</w:t>
            </w:r>
          </w:p>
        </w:tc>
        <w:tc>
          <w:tcPr>
            <w:tcW w:w="3928"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《广东省人民政府关于公布省直部门权责清单（第二批）的决定》（粤府〔2015〕24号）、《广东省人民政府办公厅关于调整省直有关部门职能的通知》（粤府办〔2015〕8号）及相应的法律法规</w:t>
            </w:r>
          </w:p>
        </w:tc>
        <w:tc>
          <w:tcPr>
            <w:tcW w:w="3984"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各地上报本委的重大复杂或跨区域执法案件中符合下列情形之一的：</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1、涉及重大公共利益、社会关注度高、可能造成重大社会影响或者引发社会风险的；</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2、直接关系行政相对人或者第三人重大权益，或者案件情况疑难复杂、涉及多个法律关系的；</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3、经过听证程序作出行政处罚决定的；</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4、法律、法规、规章或者规范性文件规定应当进行法制审核的。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80" w:hRule="atLeast"/>
          <w:jc w:val="center"/>
        </w:trPr>
        <w:tc>
          <w:tcPr>
            <w:tcW w:w="802"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8"/>
                <w:szCs w:val="28"/>
                <w:u w:val="none"/>
              </w:rPr>
            </w:pPr>
            <w:r>
              <w:rPr>
                <w:rFonts w:hint="default" w:ascii="Times New Roman" w:hAnsi="Times New Roman" w:eastAsia="黑体" w:cs="Times New Roman"/>
                <w:i w:val="0"/>
                <w:color w:val="000000"/>
                <w:kern w:val="0"/>
                <w:sz w:val="28"/>
                <w:szCs w:val="28"/>
                <w:u w:val="none"/>
                <w:lang w:val="en-US" w:eastAsia="zh-CN" w:bidi="ar"/>
              </w:rPr>
              <w:t>7</w:t>
            </w:r>
          </w:p>
        </w:tc>
        <w:tc>
          <w:tcPr>
            <w:tcW w:w="1408" w:type="dxa"/>
            <w:vMerge w:val="restart"/>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行政许可</w:t>
            </w:r>
          </w:p>
        </w:tc>
        <w:tc>
          <w:tcPr>
            <w:tcW w:w="960" w:type="dxa"/>
            <w:vMerge w:val="restart"/>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本委直接实施</w:t>
            </w:r>
          </w:p>
        </w:tc>
        <w:tc>
          <w:tcPr>
            <w:tcW w:w="3032"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高致病性病原微生物实验活动生物安全初审（目录外）、审批（目录内）</w:t>
            </w:r>
          </w:p>
        </w:tc>
        <w:tc>
          <w:tcPr>
            <w:tcW w:w="3928"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《人间传染的高致病性病原微生物实验室和实验活动生物安全审批管理办法》第八条；《病原微生物实验室生物安全管理条例》第二十一条</w:t>
            </w:r>
          </w:p>
        </w:tc>
        <w:tc>
          <w:tcPr>
            <w:tcW w:w="3984" w:type="dxa"/>
            <w:vMerge w:val="restart"/>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符合下列情形之一的：</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1、涉及重大公共利益、社会关注度高、可能造成重大社会影响或者引发社会风险的；</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2、直接关系行政相对人或者第三人重大权益，或者案件情况疑难复杂、涉及多个法律关系的；</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3、经过听证程序作出行政许可决定的；</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4、法律、法规、规章或者规范性文件规定应当进行法制审核的。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60" w:hRule="atLeast"/>
          <w:jc w:val="center"/>
        </w:trPr>
        <w:tc>
          <w:tcPr>
            <w:tcW w:w="802"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8"/>
                <w:szCs w:val="28"/>
                <w:u w:val="none"/>
              </w:rPr>
            </w:pPr>
            <w:r>
              <w:rPr>
                <w:rFonts w:hint="default" w:ascii="Times New Roman" w:hAnsi="Times New Roman" w:eastAsia="黑体" w:cs="Times New Roman"/>
                <w:i w:val="0"/>
                <w:color w:val="000000"/>
                <w:kern w:val="0"/>
                <w:sz w:val="28"/>
                <w:szCs w:val="28"/>
                <w:u w:val="none"/>
                <w:lang w:val="en-US" w:eastAsia="zh-CN" w:bidi="ar"/>
              </w:rPr>
              <w:t>8</w:t>
            </w:r>
          </w:p>
        </w:tc>
        <w:tc>
          <w:tcPr>
            <w:tcW w:w="1408" w:type="dxa"/>
            <w:vMerge w:val="continue"/>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jc w:val="center"/>
              <w:rPr>
                <w:rFonts w:hint="default" w:ascii="Times New Roman" w:hAnsi="Times New Roman" w:eastAsia="宋体" w:cs="Times New Roman"/>
                <w:i w:val="0"/>
                <w:color w:val="000000"/>
                <w:sz w:val="28"/>
                <w:szCs w:val="28"/>
                <w:u w:val="none"/>
              </w:rPr>
            </w:pPr>
          </w:p>
        </w:tc>
        <w:tc>
          <w:tcPr>
            <w:tcW w:w="960" w:type="dxa"/>
            <w:vMerge w:val="continue"/>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jc w:val="center"/>
              <w:rPr>
                <w:rFonts w:hint="default" w:ascii="Times New Roman" w:hAnsi="Times New Roman" w:eastAsia="宋体" w:cs="Times New Roman"/>
                <w:i w:val="0"/>
                <w:color w:val="000000"/>
                <w:sz w:val="28"/>
                <w:szCs w:val="28"/>
                <w:u w:val="none"/>
              </w:rPr>
            </w:pPr>
          </w:p>
        </w:tc>
        <w:tc>
          <w:tcPr>
            <w:tcW w:w="3032"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高致病性病原微生物运输初审、审批</w:t>
            </w:r>
          </w:p>
        </w:tc>
        <w:tc>
          <w:tcPr>
            <w:tcW w:w="3928"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《病原微生物实验室生物安全管理条例》第十一条；《可感染人类的高致病性病原微生物菌（毒）种或样本运输管理规定》第九条</w:t>
            </w:r>
          </w:p>
        </w:tc>
        <w:tc>
          <w:tcPr>
            <w:tcW w:w="3984" w:type="dxa"/>
            <w:vMerge w:val="continue"/>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jc w:val="left"/>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20" w:hRule="atLeast"/>
          <w:jc w:val="center"/>
        </w:trPr>
        <w:tc>
          <w:tcPr>
            <w:tcW w:w="802"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color w:val="000000"/>
                <w:sz w:val="28"/>
                <w:szCs w:val="28"/>
                <w:u w:val="none"/>
              </w:rPr>
            </w:pPr>
            <w:r>
              <w:rPr>
                <w:rFonts w:hint="default" w:ascii="Times New Roman" w:hAnsi="Times New Roman" w:eastAsia="黑体" w:cs="Times New Roman"/>
                <w:i w:val="0"/>
                <w:color w:val="000000"/>
                <w:kern w:val="0"/>
                <w:sz w:val="28"/>
                <w:szCs w:val="28"/>
                <w:u w:val="none"/>
                <w:lang w:val="en-US" w:eastAsia="zh-CN" w:bidi="ar"/>
              </w:rPr>
              <w:t>9</w:t>
            </w:r>
          </w:p>
        </w:tc>
        <w:tc>
          <w:tcPr>
            <w:tcW w:w="1408" w:type="dxa"/>
            <w:vMerge w:val="continue"/>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8"/>
                <w:szCs w:val="28"/>
                <w:u w:val="none"/>
              </w:rPr>
            </w:pPr>
          </w:p>
        </w:tc>
        <w:tc>
          <w:tcPr>
            <w:tcW w:w="960" w:type="dxa"/>
            <w:vMerge w:val="continue"/>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8"/>
                <w:szCs w:val="28"/>
                <w:u w:val="none"/>
              </w:rPr>
            </w:pPr>
          </w:p>
        </w:tc>
        <w:tc>
          <w:tcPr>
            <w:tcW w:w="3032"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人体器官移植医师执业资格认定</w:t>
            </w:r>
          </w:p>
        </w:tc>
        <w:tc>
          <w:tcPr>
            <w:tcW w:w="3928"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人体器官移植条例》第四条；《国家卫生计生委关于印发人体器官移植医师培训与认定管理办法等有关文件的通知》（国卫医发〔2016〕49号）；《中华人民共和国执业医师法》第八条；《国务院关于取消和调整一批行政审批项目等事项的决定》（国发〔2014〕27号）</w:t>
            </w:r>
          </w:p>
        </w:tc>
        <w:tc>
          <w:tcPr>
            <w:tcW w:w="3984" w:type="dxa"/>
            <w:vMerge w:val="continue"/>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jc w:val="left"/>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jc w:val="center"/>
        </w:trPr>
        <w:tc>
          <w:tcPr>
            <w:tcW w:w="802"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color w:val="000000"/>
                <w:sz w:val="28"/>
                <w:szCs w:val="28"/>
                <w:u w:val="none"/>
              </w:rPr>
            </w:pPr>
            <w:r>
              <w:rPr>
                <w:rFonts w:hint="default" w:ascii="Times New Roman" w:hAnsi="Times New Roman" w:eastAsia="黑体" w:cs="Times New Roman"/>
                <w:i w:val="0"/>
                <w:color w:val="000000"/>
                <w:kern w:val="0"/>
                <w:sz w:val="28"/>
                <w:szCs w:val="28"/>
                <w:u w:val="none"/>
                <w:lang w:val="en-US" w:eastAsia="zh-CN" w:bidi="ar"/>
              </w:rPr>
              <w:t>10</w:t>
            </w:r>
          </w:p>
        </w:tc>
        <w:tc>
          <w:tcPr>
            <w:tcW w:w="1408" w:type="dxa"/>
            <w:vMerge w:val="continue"/>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8"/>
                <w:szCs w:val="28"/>
                <w:u w:val="none"/>
              </w:rPr>
            </w:pPr>
          </w:p>
        </w:tc>
        <w:tc>
          <w:tcPr>
            <w:tcW w:w="960" w:type="dxa"/>
            <w:vMerge w:val="continue"/>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8"/>
                <w:szCs w:val="28"/>
                <w:u w:val="none"/>
              </w:rPr>
            </w:pPr>
          </w:p>
        </w:tc>
        <w:tc>
          <w:tcPr>
            <w:tcW w:w="3032"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港澳台医师内地医师资格认定</w:t>
            </w:r>
          </w:p>
        </w:tc>
        <w:tc>
          <w:tcPr>
            <w:tcW w:w="3928"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《卫生部 国家中医药管理局关于印发〈香港和澳门特别行政区医师获得内地医师资格认定管理办法〉的通知》（卫医政发〔2009〕33号）；《中华人民共和国执业医师法》（2009年修正）第八条；</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《卫生部 国家中医药管理局关于印发〈台湾地区医师获得大陆医师资格认定管理办法〉的通知》（卫医政发〔2009〕32号）</w:t>
            </w:r>
          </w:p>
        </w:tc>
        <w:tc>
          <w:tcPr>
            <w:tcW w:w="3984" w:type="dxa"/>
            <w:vMerge w:val="continue"/>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jc w:val="left"/>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62" w:hRule="atLeast"/>
          <w:jc w:val="center"/>
        </w:trPr>
        <w:tc>
          <w:tcPr>
            <w:tcW w:w="802"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color w:val="000000"/>
                <w:sz w:val="28"/>
                <w:szCs w:val="28"/>
                <w:u w:val="none"/>
              </w:rPr>
            </w:pPr>
            <w:r>
              <w:rPr>
                <w:rFonts w:hint="default" w:ascii="Times New Roman" w:hAnsi="Times New Roman" w:eastAsia="黑体" w:cs="Times New Roman"/>
                <w:i w:val="0"/>
                <w:color w:val="000000"/>
                <w:kern w:val="0"/>
                <w:sz w:val="28"/>
                <w:szCs w:val="28"/>
                <w:u w:val="none"/>
                <w:lang w:val="en-US" w:eastAsia="zh-CN" w:bidi="ar"/>
              </w:rPr>
              <w:t>11</w:t>
            </w:r>
          </w:p>
        </w:tc>
        <w:tc>
          <w:tcPr>
            <w:tcW w:w="1408" w:type="dxa"/>
            <w:vMerge w:val="continue"/>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8"/>
                <w:szCs w:val="28"/>
                <w:u w:val="none"/>
              </w:rPr>
            </w:pPr>
          </w:p>
        </w:tc>
        <w:tc>
          <w:tcPr>
            <w:tcW w:w="960" w:type="dxa"/>
            <w:vMerge w:val="continue"/>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8"/>
                <w:szCs w:val="28"/>
                <w:u w:val="none"/>
              </w:rPr>
            </w:pPr>
          </w:p>
        </w:tc>
        <w:tc>
          <w:tcPr>
            <w:tcW w:w="3032"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复转退军人医师资格证书换发（含中医医师）</w:t>
            </w:r>
          </w:p>
        </w:tc>
        <w:tc>
          <w:tcPr>
            <w:tcW w:w="3928"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关于做好军队专业、复员或退休移交地方人民政府安置的医师换领地方〈医师资格证书〉工作有关问题的通知》（卫医发〔2003〕130号）；《中国人民解放军实施〈中华人民共和国执业医师法〉办法》（中央军事委员会令第290号）</w:t>
            </w:r>
          </w:p>
        </w:tc>
        <w:tc>
          <w:tcPr>
            <w:tcW w:w="3984" w:type="dxa"/>
            <w:vMerge w:val="continue"/>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jc w:val="left"/>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27" w:hRule="atLeast"/>
          <w:jc w:val="center"/>
        </w:trPr>
        <w:tc>
          <w:tcPr>
            <w:tcW w:w="802"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8"/>
                <w:szCs w:val="28"/>
                <w:u w:val="none"/>
              </w:rPr>
            </w:pPr>
            <w:r>
              <w:rPr>
                <w:rFonts w:hint="default" w:ascii="Times New Roman" w:hAnsi="Times New Roman" w:eastAsia="黑体" w:cs="Times New Roman"/>
                <w:i w:val="0"/>
                <w:color w:val="000000"/>
                <w:kern w:val="0"/>
                <w:sz w:val="28"/>
                <w:szCs w:val="28"/>
                <w:u w:val="none"/>
                <w:lang w:val="en-US" w:eastAsia="zh-CN" w:bidi="ar"/>
              </w:rPr>
              <w:t>12</w:t>
            </w:r>
          </w:p>
        </w:tc>
        <w:tc>
          <w:tcPr>
            <w:tcW w:w="1408" w:type="dxa"/>
            <w:vMerge w:val="continue"/>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jc w:val="center"/>
              <w:rPr>
                <w:rFonts w:hint="default" w:ascii="Times New Roman" w:hAnsi="Times New Roman" w:eastAsia="宋体" w:cs="Times New Roman"/>
                <w:i w:val="0"/>
                <w:color w:val="000000"/>
                <w:sz w:val="28"/>
                <w:szCs w:val="28"/>
                <w:u w:val="none"/>
              </w:rPr>
            </w:pPr>
          </w:p>
        </w:tc>
        <w:tc>
          <w:tcPr>
            <w:tcW w:w="960" w:type="dxa"/>
            <w:vMerge w:val="continue"/>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jc w:val="center"/>
              <w:rPr>
                <w:rFonts w:hint="default" w:ascii="Times New Roman" w:hAnsi="Times New Roman" w:eastAsia="宋体" w:cs="Times New Roman"/>
                <w:i w:val="0"/>
                <w:color w:val="000000"/>
                <w:sz w:val="28"/>
                <w:szCs w:val="28"/>
                <w:u w:val="none"/>
              </w:rPr>
            </w:pPr>
          </w:p>
        </w:tc>
        <w:tc>
          <w:tcPr>
            <w:tcW w:w="3032"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职业卫生技术服务机构资质认可</w:t>
            </w:r>
          </w:p>
        </w:tc>
        <w:tc>
          <w:tcPr>
            <w:tcW w:w="3928"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《中华人民共和国职业病防治法》（2018年修正）第二十六条；《广东省安全生产条例》第三十二条；《职业卫生技术服务机构管理办法》（国家卫生健康委令第4号）第四条</w:t>
            </w:r>
          </w:p>
        </w:tc>
        <w:tc>
          <w:tcPr>
            <w:tcW w:w="3984" w:type="dxa"/>
            <w:vMerge w:val="continue"/>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jc w:val="left"/>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2" w:hRule="atLeast"/>
          <w:jc w:val="center"/>
        </w:trPr>
        <w:tc>
          <w:tcPr>
            <w:tcW w:w="802"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8"/>
                <w:szCs w:val="28"/>
                <w:u w:val="none"/>
              </w:rPr>
            </w:pPr>
            <w:r>
              <w:rPr>
                <w:rFonts w:hint="default" w:ascii="Times New Roman" w:hAnsi="Times New Roman" w:eastAsia="黑体" w:cs="Times New Roman"/>
                <w:i w:val="0"/>
                <w:color w:val="000000"/>
                <w:kern w:val="0"/>
                <w:sz w:val="28"/>
                <w:szCs w:val="28"/>
                <w:u w:val="none"/>
                <w:lang w:val="en-US" w:eastAsia="zh-CN" w:bidi="ar"/>
              </w:rPr>
              <w:t>13</w:t>
            </w:r>
          </w:p>
        </w:tc>
        <w:tc>
          <w:tcPr>
            <w:tcW w:w="1408" w:type="dxa"/>
            <w:vMerge w:val="continue"/>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jc w:val="center"/>
              <w:rPr>
                <w:rFonts w:hint="default" w:ascii="Times New Roman" w:hAnsi="Times New Roman" w:eastAsia="宋体" w:cs="Times New Roman"/>
                <w:i w:val="0"/>
                <w:color w:val="000000"/>
                <w:sz w:val="28"/>
                <w:szCs w:val="28"/>
                <w:u w:val="none"/>
              </w:rPr>
            </w:pPr>
          </w:p>
        </w:tc>
        <w:tc>
          <w:tcPr>
            <w:tcW w:w="960" w:type="dxa"/>
            <w:vMerge w:val="continue"/>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jc w:val="center"/>
              <w:rPr>
                <w:rFonts w:hint="default" w:ascii="Times New Roman" w:hAnsi="Times New Roman" w:eastAsia="宋体" w:cs="Times New Roman"/>
                <w:i w:val="0"/>
                <w:color w:val="000000"/>
                <w:sz w:val="28"/>
                <w:szCs w:val="28"/>
                <w:u w:val="none"/>
              </w:rPr>
            </w:pPr>
          </w:p>
        </w:tc>
        <w:tc>
          <w:tcPr>
            <w:tcW w:w="3032"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血站执业、单采血浆站许可证核发</w:t>
            </w:r>
          </w:p>
        </w:tc>
        <w:tc>
          <w:tcPr>
            <w:tcW w:w="3928"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《血站管理办法》第13条；《单采血浆站管理办法》第13条</w:t>
            </w:r>
          </w:p>
        </w:tc>
        <w:tc>
          <w:tcPr>
            <w:tcW w:w="3984" w:type="dxa"/>
            <w:vMerge w:val="continue"/>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jc w:val="left"/>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75" w:hRule="atLeast"/>
          <w:jc w:val="center"/>
        </w:trPr>
        <w:tc>
          <w:tcPr>
            <w:tcW w:w="802"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8"/>
                <w:szCs w:val="28"/>
                <w:u w:val="none"/>
              </w:rPr>
            </w:pPr>
            <w:r>
              <w:rPr>
                <w:rFonts w:hint="default" w:ascii="Times New Roman" w:hAnsi="Times New Roman" w:eastAsia="黑体" w:cs="Times New Roman"/>
                <w:i w:val="0"/>
                <w:color w:val="000000"/>
                <w:kern w:val="0"/>
                <w:sz w:val="28"/>
                <w:szCs w:val="28"/>
                <w:u w:val="none"/>
                <w:lang w:val="en-US" w:eastAsia="zh-CN" w:bidi="ar"/>
              </w:rPr>
              <w:t>14</w:t>
            </w:r>
          </w:p>
        </w:tc>
        <w:tc>
          <w:tcPr>
            <w:tcW w:w="1408" w:type="dxa"/>
            <w:vMerge w:val="continue"/>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jc w:val="center"/>
              <w:rPr>
                <w:rFonts w:hint="default" w:ascii="Times New Roman" w:hAnsi="Times New Roman" w:eastAsia="宋体" w:cs="Times New Roman"/>
                <w:i w:val="0"/>
                <w:color w:val="000000"/>
                <w:sz w:val="28"/>
                <w:szCs w:val="28"/>
                <w:u w:val="none"/>
              </w:rPr>
            </w:pPr>
          </w:p>
        </w:tc>
        <w:tc>
          <w:tcPr>
            <w:tcW w:w="960" w:type="dxa"/>
            <w:vMerge w:val="continue"/>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jc w:val="center"/>
              <w:rPr>
                <w:rFonts w:hint="default" w:ascii="Times New Roman" w:hAnsi="Times New Roman" w:eastAsia="宋体" w:cs="Times New Roman"/>
                <w:i w:val="0"/>
                <w:color w:val="000000"/>
                <w:sz w:val="28"/>
                <w:szCs w:val="28"/>
                <w:u w:val="none"/>
              </w:rPr>
            </w:pPr>
          </w:p>
        </w:tc>
        <w:tc>
          <w:tcPr>
            <w:tcW w:w="3032"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医疗机构开展人类辅助生殖技术许可</w:t>
            </w:r>
          </w:p>
        </w:tc>
        <w:tc>
          <w:tcPr>
            <w:tcW w:w="3928"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《人类辅助生殖技术管理办法》第七条；《国务院对确需保留的行政审批项目设定行政许可的决定》（国务院令第412号）；《国务院关于第四批取消和调整行政审批项目的决定》（国发〔2007〕33号）</w:t>
            </w:r>
          </w:p>
        </w:tc>
        <w:tc>
          <w:tcPr>
            <w:tcW w:w="3984" w:type="dxa"/>
            <w:vMerge w:val="continue"/>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jc w:val="left"/>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75" w:hRule="atLeast"/>
          <w:jc w:val="center"/>
        </w:trPr>
        <w:tc>
          <w:tcPr>
            <w:tcW w:w="802"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8"/>
                <w:szCs w:val="28"/>
                <w:u w:val="none"/>
              </w:rPr>
            </w:pPr>
            <w:r>
              <w:rPr>
                <w:rFonts w:hint="default" w:ascii="Times New Roman" w:hAnsi="Times New Roman" w:eastAsia="黑体" w:cs="Times New Roman"/>
                <w:i w:val="0"/>
                <w:color w:val="000000"/>
                <w:kern w:val="0"/>
                <w:sz w:val="28"/>
                <w:szCs w:val="28"/>
                <w:u w:val="none"/>
                <w:lang w:val="en-US" w:eastAsia="zh-CN" w:bidi="ar"/>
              </w:rPr>
              <w:t>15</w:t>
            </w:r>
          </w:p>
        </w:tc>
        <w:tc>
          <w:tcPr>
            <w:tcW w:w="1408" w:type="dxa"/>
            <w:vMerge w:val="continue"/>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jc w:val="center"/>
              <w:rPr>
                <w:rFonts w:hint="default" w:ascii="Times New Roman" w:hAnsi="Times New Roman" w:eastAsia="宋体" w:cs="Times New Roman"/>
                <w:i w:val="0"/>
                <w:color w:val="000000"/>
                <w:sz w:val="28"/>
                <w:szCs w:val="28"/>
                <w:u w:val="none"/>
              </w:rPr>
            </w:pPr>
          </w:p>
        </w:tc>
        <w:tc>
          <w:tcPr>
            <w:tcW w:w="960" w:type="dxa"/>
            <w:vMerge w:val="continue"/>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jc w:val="center"/>
              <w:rPr>
                <w:rFonts w:hint="default" w:ascii="Times New Roman" w:hAnsi="Times New Roman" w:eastAsia="宋体" w:cs="Times New Roman"/>
                <w:i w:val="0"/>
                <w:color w:val="000000"/>
                <w:sz w:val="28"/>
                <w:szCs w:val="28"/>
                <w:u w:val="none"/>
              </w:rPr>
            </w:pPr>
          </w:p>
        </w:tc>
        <w:tc>
          <w:tcPr>
            <w:tcW w:w="3032"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医疗机构设置人类精子库审批</w:t>
            </w:r>
          </w:p>
        </w:tc>
        <w:tc>
          <w:tcPr>
            <w:tcW w:w="3928"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《人类精子库管理办法》第八条；《国务院关于第四批取消和调整行政审批项目的决定》（国发〔2007〕33号）；《国务院对确需保留的行政审批项目设定行政许可的决定》（国务院令第412号）</w:t>
            </w:r>
          </w:p>
        </w:tc>
        <w:tc>
          <w:tcPr>
            <w:tcW w:w="3984" w:type="dxa"/>
            <w:vMerge w:val="continue"/>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jc w:val="left"/>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63" w:hRule="atLeast"/>
          <w:jc w:val="center"/>
        </w:trPr>
        <w:tc>
          <w:tcPr>
            <w:tcW w:w="802"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8"/>
                <w:szCs w:val="28"/>
                <w:u w:val="none"/>
              </w:rPr>
            </w:pPr>
            <w:r>
              <w:rPr>
                <w:rFonts w:hint="default" w:ascii="Times New Roman" w:hAnsi="Times New Roman" w:eastAsia="黑体" w:cs="Times New Roman"/>
                <w:i w:val="0"/>
                <w:color w:val="000000"/>
                <w:kern w:val="0"/>
                <w:sz w:val="28"/>
                <w:szCs w:val="28"/>
                <w:u w:val="none"/>
                <w:lang w:val="en-US" w:eastAsia="zh-CN" w:bidi="ar"/>
              </w:rPr>
              <w:t>16</w:t>
            </w:r>
          </w:p>
        </w:tc>
        <w:tc>
          <w:tcPr>
            <w:tcW w:w="1408" w:type="dxa"/>
            <w:vMerge w:val="continue"/>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jc w:val="center"/>
              <w:rPr>
                <w:rFonts w:hint="default" w:ascii="Times New Roman" w:hAnsi="Times New Roman" w:eastAsia="宋体" w:cs="Times New Roman"/>
                <w:i w:val="0"/>
                <w:color w:val="000000"/>
                <w:sz w:val="28"/>
                <w:szCs w:val="28"/>
                <w:u w:val="none"/>
              </w:rPr>
            </w:pPr>
          </w:p>
        </w:tc>
        <w:tc>
          <w:tcPr>
            <w:tcW w:w="960" w:type="dxa"/>
            <w:vMerge w:val="continue"/>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jc w:val="center"/>
              <w:rPr>
                <w:rFonts w:hint="default" w:ascii="Times New Roman" w:hAnsi="Times New Roman" w:eastAsia="宋体" w:cs="Times New Roman"/>
                <w:i w:val="0"/>
                <w:color w:val="000000"/>
                <w:sz w:val="28"/>
                <w:szCs w:val="28"/>
                <w:u w:val="none"/>
              </w:rPr>
            </w:pPr>
          </w:p>
        </w:tc>
        <w:tc>
          <w:tcPr>
            <w:tcW w:w="3032"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大型医用设备配置许可证核发初审、审批</w:t>
            </w:r>
          </w:p>
        </w:tc>
        <w:tc>
          <w:tcPr>
            <w:tcW w:w="3928"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《大型医用设备配置与使用管理办法（试行）》（国卫规划发〔2018〕12号）第十九条；《医疗器械监督管理条例》（国务院令第739号）</w:t>
            </w:r>
          </w:p>
        </w:tc>
        <w:tc>
          <w:tcPr>
            <w:tcW w:w="3984" w:type="dxa"/>
            <w:vMerge w:val="continue"/>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jc w:val="left"/>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40" w:hRule="atLeast"/>
          <w:jc w:val="center"/>
        </w:trPr>
        <w:tc>
          <w:tcPr>
            <w:tcW w:w="802"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8"/>
                <w:szCs w:val="28"/>
                <w:u w:val="none"/>
              </w:rPr>
            </w:pPr>
            <w:r>
              <w:rPr>
                <w:rFonts w:hint="default" w:ascii="Times New Roman" w:hAnsi="Times New Roman" w:eastAsia="黑体" w:cs="Times New Roman"/>
                <w:i w:val="0"/>
                <w:color w:val="000000"/>
                <w:kern w:val="0"/>
                <w:sz w:val="28"/>
                <w:szCs w:val="28"/>
                <w:u w:val="none"/>
                <w:lang w:val="en-US" w:eastAsia="zh-CN" w:bidi="ar"/>
              </w:rPr>
              <w:t>17</w:t>
            </w:r>
          </w:p>
        </w:tc>
        <w:tc>
          <w:tcPr>
            <w:tcW w:w="1408" w:type="dxa"/>
            <w:vMerge w:val="continue"/>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jc w:val="center"/>
              <w:rPr>
                <w:rFonts w:hint="default" w:ascii="Times New Roman" w:hAnsi="Times New Roman" w:eastAsia="宋体" w:cs="Times New Roman"/>
                <w:i w:val="0"/>
                <w:color w:val="000000"/>
                <w:sz w:val="28"/>
                <w:szCs w:val="28"/>
                <w:u w:val="none"/>
              </w:rPr>
            </w:pPr>
          </w:p>
        </w:tc>
        <w:tc>
          <w:tcPr>
            <w:tcW w:w="960" w:type="dxa"/>
            <w:vMerge w:val="continue"/>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jc w:val="center"/>
              <w:rPr>
                <w:rFonts w:hint="default" w:ascii="Times New Roman" w:hAnsi="Times New Roman" w:eastAsia="宋体" w:cs="Times New Roman"/>
                <w:i w:val="0"/>
                <w:color w:val="000000"/>
                <w:sz w:val="28"/>
                <w:szCs w:val="28"/>
                <w:u w:val="none"/>
              </w:rPr>
            </w:pPr>
          </w:p>
        </w:tc>
        <w:tc>
          <w:tcPr>
            <w:tcW w:w="3032"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职业病诊断资格证书核发</w:t>
            </w:r>
          </w:p>
        </w:tc>
        <w:tc>
          <w:tcPr>
            <w:tcW w:w="3928"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《中华人民共和国职业病防治法》（2018年修正）第四十六条；《职业病诊断与鉴定管理办法》第十六条</w:t>
            </w:r>
          </w:p>
        </w:tc>
        <w:tc>
          <w:tcPr>
            <w:tcW w:w="3984" w:type="dxa"/>
            <w:vMerge w:val="continue"/>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left"/>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40" w:hRule="atLeast"/>
          <w:jc w:val="center"/>
        </w:trPr>
        <w:tc>
          <w:tcPr>
            <w:tcW w:w="802"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8"/>
                <w:szCs w:val="28"/>
                <w:u w:val="none"/>
              </w:rPr>
            </w:pPr>
            <w:r>
              <w:rPr>
                <w:rFonts w:hint="default" w:ascii="Times New Roman" w:hAnsi="Times New Roman" w:eastAsia="黑体" w:cs="Times New Roman"/>
                <w:i w:val="0"/>
                <w:color w:val="000000"/>
                <w:kern w:val="0"/>
                <w:sz w:val="28"/>
                <w:szCs w:val="28"/>
                <w:u w:val="none"/>
                <w:lang w:val="en-US" w:eastAsia="zh-CN" w:bidi="ar"/>
              </w:rPr>
              <w:t>18</w:t>
            </w:r>
          </w:p>
        </w:tc>
        <w:tc>
          <w:tcPr>
            <w:tcW w:w="1408" w:type="dxa"/>
            <w:vMerge w:val="continue"/>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jc w:val="center"/>
              <w:rPr>
                <w:rFonts w:hint="default" w:ascii="Times New Roman" w:hAnsi="Times New Roman" w:eastAsia="宋体" w:cs="Times New Roman"/>
                <w:i w:val="0"/>
                <w:color w:val="000000"/>
                <w:sz w:val="28"/>
                <w:szCs w:val="28"/>
                <w:u w:val="none"/>
              </w:rPr>
            </w:pPr>
          </w:p>
        </w:tc>
        <w:tc>
          <w:tcPr>
            <w:tcW w:w="960" w:type="dxa"/>
            <w:vMerge w:val="continue"/>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jc w:val="center"/>
              <w:rPr>
                <w:rFonts w:hint="default" w:ascii="Times New Roman" w:hAnsi="Times New Roman" w:eastAsia="宋体" w:cs="Times New Roman"/>
                <w:i w:val="0"/>
                <w:color w:val="000000"/>
                <w:sz w:val="28"/>
                <w:szCs w:val="28"/>
                <w:u w:val="none"/>
              </w:rPr>
            </w:pPr>
          </w:p>
        </w:tc>
        <w:tc>
          <w:tcPr>
            <w:tcW w:w="3032"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医疗机构人体器官移植执业资格认定</w:t>
            </w:r>
          </w:p>
        </w:tc>
        <w:tc>
          <w:tcPr>
            <w:tcW w:w="3928"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《人体器官移植条例》第十一条；《国家卫生健康委关于印发自由贸易试验区“证照分离”改革卫生健康事项实施方案的通知》（国卫法规发〔2019〕62号）</w:t>
            </w:r>
          </w:p>
        </w:tc>
        <w:tc>
          <w:tcPr>
            <w:tcW w:w="3984" w:type="dxa"/>
            <w:vMerge w:val="continue"/>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left"/>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jc w:val="center"/>
        </w:trPr>
        <w:tc>
          <w:tcPr>
            <w:tcW w:w="802"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8"/>
                <w:szCs w:val="28"/>
                <w:u w:val="none"/>
              </w:rPr>
            </w:pPr>
            <w:r>
              <w:rPr>
                <w:rFonts w:hint="default" w:ascii="Times New Roman" w:hAnsi="Times New Roman" w:eastAsia="黑体" w:cs="Times New Roman"/>
                <w:i w:val="0"/>
                <w:color w:val="000000"/>
                <w:kern w:val="0"/>
                <w:sz w:val="28"/>
                <w:szCs w:val="28"/>
                <w:u w:val="none"/>
                <w:lang w:val="en-US" w:eastAsia="zh-CN" w:bidi="ar"/>
              </w:rPr>
              <w:t>19</w:t>
            </w:r>
          </w:p>
        </w:tc>
        <w:tc>
          <w:tcPr>
            <w:tcW w:w="1408" w:type="dxa"/>
            <w:vMerge w:val="continue"/>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jc w:val="center"/>
              <w:rPr>
                <w:rFonts w:hint="default" w:ascii="Times New Roman" w:hAnsi="Times New Roman" w:eastAsia="宋体" w:cs="Times New Roman"/>
                <w:i w:val="0"/>
                <w:color w:val="000000"/>
                <w:sz w:val="28"/>
                <w:szCs w:val="28"/>
                <w:u w:val="none"/>
              </w:rPr>
            </w:pPr>
          </w:p>
        </w:tc>
        <w:tc>
          <w:tcPr>
            <w:tcW w:w="960"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委托各地实施</w:t>
            </w:r>
          </w:p>
        </w:tc>
        <w:tc>
          <w:tcPr>
            <w:tcW w:w="3032"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母婴保健技术考核合格证书核发、戒毒医疗服务许可等其他卫生健康行政许可事项</w:t>
            </w:r>
          </w:p>
        </w:tc>
        <w:tc>
          <w:tcPr>
            <w:tcW w:w="3928"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《广东省人民政府关于调整实施一批省级权责清单事项的决定》（广东省人民政府令第270号）及相应的法律法规</w:t>
            </w:r>
          </w:p>
        </w:tc>
        <w:tc>
          <w:tcPr>
            <w:tcW w:w="3984"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各地上报本委的重大复杂或跨区域执法案件中符合下列情形之一的：</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1、涉及重大公共利益、社会关注度高、可能造成重大社会影响或者引发社会风险的；</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2、直接关系行政相对人或者第三人重大权益，或者案件情况疑难复杂、涉及多个法律关系的；</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3、经过听证程序作出行政许可决定的；</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4、法律、法规、规章或者规范性文件规定应当进行法制审核的。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28" w:hRule="atLeast"/>
          <w:jc w:val="center"/>
        </w:trPr>
        <w:tc>
          <w:tcPr>
            <w:tcW w:w="802"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8"/>
                <w:szCs w:val="28"/>
                <w:u w:val="none"/>
              </w:rPr>
            </w:pPr>
            <w:r>
              <w:rPr>
                <w:rFonts w:hint="default" w:ascii="Times New Roman" w:hAnsi="Times New Roman" w:eastAsia="黑体" w:cs="Times New Roman"/>
                <w:i w:val="0"/>
                <w:color w:val="000000"/>
                <w:kern w:val="0"/>
                <w:sz w:val="28"/>
                <w:szCs w:val="28"/>
                <w:u w:val="none"/>
                <w:lang w:val="en-US" w:eastAsia="zh-CN" w:bidi="ar"/>
              </w:rPr>
              <w:t>20</w:t>
            </w:r>
          </w:p>
        </w:tc>
        <w:tc>
          <w:tcPr>
            <w:tcW w:w="1408"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行政强制</w:t>
            </w:r>
          </w:p>
        </w:tc>
        <w:tc>
          <w:tcPr>
            <w:tcW w:w="960"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由市县 实施属地执法</w:t>
            </w:r>
          </w:p>
        </w:tc>
        <w:tc>
          <w:tcPr>
            <w:tcW w:w="3032"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对被传染病病原体污染的公共饮用水源、食品以及相关物品实施封闭、封存或者暂停销售等行政强制措施</w:t>
            </w:r>
          </w:p>
        </w:tc>
        <w:tc>
          <w:tcPr>
            <w:tcW w:w="3928"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《广东省人民政府关于公布省直部门权责清单（第二批）的决定》（粤府〔2015〕24号）、《广东省人民政府办公厅关于调整省直有关部门职能的通知》（粤府办〔2015〕8号）及相应的法律法规</w:t>
            </w:r>
          </w:p>
        </w:tc>
        <w:tc>
          <w:tcPr>
            <w:tcW w:w="3984"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各地上报本委的重大复杂或跨区域执法案件中符合下列情形之一的：</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1、涉及重大公共利益、社会关注度高、可能造成重大社会影响或者引发社会风险的；</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2、直接关系行政相对人或者第三人重大权益，或者案件情况疑难复杂、涉及多个法律关系的；</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3、经过听证程序作出行政强制决定的；</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4、法律、法规、规章或者规范性文件规定应当进行法制审核的。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40" w:hRule="atLeast"/>
          <w:jc w:val="center"/>
        </w:trPr>
        <w:tc>
          <w:tcPr>
            <w:tcW w:w="802"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8"/>
                <w:szCs w:val="28"/>
                <w:u w:val="none"/>
              </w:rPr>
            </w:pPr>
            <w:r>
              <w:rPr>
                <w:rFonts w:hint="default" w:ascii="Times New Roman" w:hAnsi="Times New Roman" w:eastAsia="黑体" w:cs="Times New Roman"/>
                <w:i w:val="0"/>
                <w:color w:val="000000"/>
                <w:kern w:val="0"/>
                <w:sz w:val="28"/>
                <w:szCs w:val="28"/>
                <w:u w:val="none"/>
                <w:lang w:val="en-US" w:eastAsia="zh-CN" w:bidi="ar"/>
              </w:rPr>
              <w:t>21</w:t>
            </w:r>
          </w:p>
        </w:tc>
        <w:tc>
          <w:tcPr>
            <w:tcW w:w="1408" w:type="dxa"/>
            <w:vMerge w:val="restart"/>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行政检查</w:t>
            </w:r>
          </w:p>
        </w:tc>
        <w:tc>
          <w:tcPr>
            <w:tcW w:w="960" w:type="dxa"/>
            <w:vMerge w:val="restart"/>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本委直接实施</w:t>
            </w:r>
          </w:p>
        </w:tc>
        <w:tc>
          <w:tcPr>
            <w:tcW w:w="3032"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对免疫规划制度的实施、预防接种活动进行监督检查</w:t>
            </w:r>
          </w:p>
        </w:tc>
        <w:tc>
          <w:tcPr>
            <w:tcW w:w="3928"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《中华人民共和国疫苗管理法》第七十条</w:t>
            </w:r>
          </w:p>
        </w:tc>
        <w:tc>
          <w:tcPr>
            <w:tcW w:w="3984" w:type="dxa"/>
            <w:vMerge w:val="restart"/>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符合下列情形之一的：</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1、涉及重大公共利益、社会关注度高、可能造成重大社会影响或者引发社会风险的；</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2、直接关系行政相对人或者第三人重大权益，或者案件情况疑难复杂、涉及多个法律关系的；</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3、经过听证程序作出行政许可决定的；</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4、法律、法规、规章或者规范性文件规定应当进行法制审核的。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80" w:hRule="atLeast"/>
          <w:jc w:val="center"/>
        </w:trPr>
        <w:tc>
          <w:tcPr>
            <w:tcW w:w="802"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8"/>
                <w:szCs w:val="28"/>
                <w:u w:val="none"/>
              </w:rPr>
            </w:pPr>
            <w:r>
              <w:rPr>
                <w:rFonts w:hint="default" w:ascii="Times New Roman" w:hAnsi="Times New Roman" w:eastAsia="黑体" w:cs="Times New Roman"/>
                <w:i w:val="0"/>
                <w:color w:val="000000"/>
                <w:kern w:val="0"/>
                <w:sz w:val="28"/>
                <w:szCs w:val="28"/>
                <w:u w:val="none"/>
                <w:lang w:val="en-US" w:eastAsia="zh-CN" w:bidi="ar"/>
              </w:rPr>
              <w:t>22</w:t>
            </w:r>
          </w:p>
        </w:tc>
        <w:tc>
          <w:tcPr>
            <w:tcW w:w="1408" w:type="dxa"/>
            <w:vMerge w:val="continue"/>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jc w:val="center"/>
              <w:rPr>
                <w:rFonts w:hint="default" w:ascii="Times New Roman" w:hAnsi="Times New Roman" w:eastAsia="宋体" w:cs="Times New Roman"/>
                <w:i w:val="0"/>
                <w:color w:val="000000"/>
                <w:sz w:val="28"/>
                <w:szCs w:val="28"/>
                <w:u w:val="none"/>
              </w:rPr>
            </w:pPr>
          </w:p>
        </w:tc>
        <w:tc>
          <w:tcPr>
            <w:tcW w:w="960" w:type="dxa"/>
            <w:vMerge w:val="continue"/>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jc w:val="center"/>
              <w:rPr>
                <w:rFonts w:hint="default" w:ascii="Times New Roman" w:hAnsi="Times New Roman" w:eastAsia="宋体" w:cs="Times New Roman"/>
                <w:i w:val="0"/>
                <w:color w:val="000000"/>
                <w:sz w:val="28"/>
                <w:szCs w:val="28"/>
                <w:u w:val="none"/>
              </w:rPr>
            </w:pPr>
          </w:p>
        </w:tc>
        <w:tc>
          <w:tcPr>
            <w:tcW w:w="3032"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对本行政区域内的血吸虫病防治工作进行监督管理</w:t>
            </w:r>
          </w:p>
        </w:tc>
        <w:tc>
          <w:tcPr>
            <w:tcW w:w="3928"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《血吸虫病防治条例》第三条、第三十九条</w:t>
            </w:r>
          </w:p>
        </w:tc>
        <w:tc>
          <w:tcPr>
            <w:tcW w:w="3984" w:type="dxa"/>
            <w:vMerge w:val="continue"/>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jc w:val="left"/>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0" w:hRule="atLeast"/>
          <w:jc w:val="center"/>
        </w:trPr>
        <w:tc>
          <w:tcPr>
            <w:tcW w:w="802"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8"/>
                <w:szCs w:val="28"/>
                <w:u w:val="none"/>
              </w:rPr>
            </w:pPr>
            <w:r>
              <w:rPr>
                <w:rFonts w:hint="default" w:ascii="Times New Roman" w:hAnsi="Times New Roman" w:eastAsia="黑体" w:cs="Times New Roman"/>
                <w:i w:val="0"/>
                <w:color w:val="000000"/>
                <w:kern w:val="0"/>
                <w:sz w:val="28"/>
                <w:szCs w:val="28"/>
                <w:u w:val="none"/>
                <w:lang w:val="en-US" w:eastAsia="zh-CN" w:bidi="ar"/>
              </w:rPr>
              <w:t>23</w:t>
            </w:r>
          </w:p>
        </w:tc>
        <w:tc>
          <w:tcPr>
            <w:tcW w:w="1408"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其他行政 执法行为</w:t>
            </w:r>
          </w:p>
        </w:tc>
        <w:tc>
          <w:tcPr>
            <w:tcW w:w="3992" w:type="dxa"/>
            <w:gridSpan w:val="2"/>
            <w:tcBorders>
              <w:top w:val="single" w:color="000000" w:sz="8" w:space="0"/>
              <w:left w:val="single" w:color="000000" w:sz="8" w:space="0"/>
              <w:bottom w:val="single" w:color="000000" w:sz="8" w:space="0"/>
              <w:right w:val="single" w:color="000000" w:sz="8" w:space="0"/>
            </w:tcBorders>
            <w:noWrap/>
            <w:tcMar>
              <w:top w:w="12" w:type="dxa"/>
              <w:left w:w="12" w:type="dxa"/>
              <w:right w:w="12" w:type="dxa"/>
            </w:tcMar>
            <w:vAlign w:val="center"/>
          </w:tcPr>
          <w:p>
            <w:pPr>
              <w:rPr>
                <w:rFonts w:hint="default" w:ascii="Times New Roman" w:hAnsi="Times New Roman" w:eastAsia="宋体" w:cs="Times New Roman"/>
                <w:i w:val="0"/>
                <w:color w:val="000000"/>
                <w:sz w:val="22"/>
                <w:szCs w:val="22"/>
                <w:u w:val="none"/>
              </w:rPr>
            </w:pPr>
          </w:p>
        </w:tc>
        <w:tc>
          <w:tcPr>
            <w:tcW w:w="3928" w:type="dxa"/>
            <w:tcBorders>
              <w:top w:val="single" w:color="000000" w:sz="8" w:space="0"/>
              <w:left w:val="single" w:color="000000" w:sz="8" w:space="0"/>
              <w:bottom w:val="single" w:color="000000" w:sz="8" w:space="0"/>
              <w:right w:val="single" w:color="000000" w:sz="8" w:space="0"/>
            </w:tcBorders>
            <w:noWrap/>
            <w:tcMar>
              <w:top w:w="12" w:type="dxa"/>
              <w:left w:w="12" w:type="dxa"/>
              <w:right w:w="12" w:type="dxa"/>
            </w:tcMar>
            <w:vAlign w:val="center"/>
          </w:tcPr>
          <w:p>
            <w:pPr>
              <w:rPr>
                <w:rFonts w:hint="default" w:ascii="Times New Roman" w:hAnsi="Times New Roman" w:eastAsia="宋体" w:cs="Times New Roman"/>
                <w:i w:val="0"/>
                <w:color w:val="000000"/>
                <w:sz w:val="22"/>
                <w:szCs w:val="22"/>
                <w:u w:val="none"/>
              </w:rPr>
            </w:pPr>
          </w:p>
        </w:tc>
        <w:tc>
          <w:tcPr>
            <w:tcW w:w="3984"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符合下列情形之一的：                       1、决定将违法行为移送司法机关追究刑事责任的；</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2、涉及重大公共利益、社会关注度高、可能造成重大社会影响或者引发社会风险的；</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3、直接关系行政相对人或者第三人重大权益，或者案件情况疑难复杂、涉及多个法律关系的；</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4、经过听证程序作出行政执法决定的；</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5、法律、法规、规章或者规范性文件规定应当进行法制审核的。</w:t>
            </w:r>
          </w:p>
        </w:tc>
      </w:tr>
    </w:tbl>
    <w:p/>
    <w:sectPr>
      <w:pgSz w:w="16838" w:h="11906" w:orient="landscape"/>
      <w:pgMar w:top="1531" w:right="2041" w:bottom="1531" w:left="204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D22B2B"/>
    <w:rsid w:val="2AD22B2B"/>
    <w:rsid w:val="45CA5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2021-09-28T01:27:00Z</dcterms:created>
  <dc:creator>eva</dc:creator>
  <cp:lastModifiedBy>eva</cp:lastModifiedBy>
  <dcterms:modified xsi:type="dcterms:W3CDTF">2021-09-28T01:27:35Z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