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b w:val="0"/>
          <w:bCs/>
          <w:i w:val="0"/>
          <w:color w:val="000000"/>
          <w:kern w:val="0"/>
          <w:sz w:val="32"/>
          <w:szCs w:val="32"/>
          <w:u w:val="none"/>
          <w:lang w:val="en-US" w:eastAsia="zh-CN" w:bidi="ar"/>
        </w:rPr>
      </w:pPr>
      <w:bookmarkStart w:id="0" w:name="_GoBack"/>
      <w:r>
        <w:rPr>
          <w:rFonts w:hint="default" w:ascii="Times New Roman" w:hAnsi="Times New Roman" w:eastAsia="黑体" w:cs="Times New Roman"/>
          <w:b w:val="0"/>
          <w:bCs/>
          <w:i w:val="0"/>
          <w:color w:val="000000"/>
          <w:kern w:val="0"/>
          <w:sz w:val="32"/>
          <w:szCs w:val="32"/>
          <w:u w:val="none"/>
          <w:lang w:val="en-US" w:eastAsia="zh-CN" w:bidi="ar"/>
        </w:rPr>
        <w:t>附件2</w:t>
      </w:r>
    </w:p>
    <w:p>
      <w:pPr>
        <w:jc w:val="center"/>
        <w:rPr>
          <w:rFonts w:hint="eastAsia" w:ascii="方正小标宋简体" w:hAnsi="方正小标宋简体" w:eastAsia="方正小标宋简体" w:cs="方正小标宋简体"/>
          <w:i w:val="0"/>
          <w:color w:val="000000"/>
          <w:kern w:val="0"/>
          <w:sz w:val="40"/>
          <w:szCs w:val="40"/>
          <w:u w:val="none"/>
          <w:lang w:val="en-US" w:eastAsia="zh-CN" w:bidi="ar"/>
        </w:rPr>
      </w:pPr>
      <w:r>
        <w:rPr>
          <w:rFonts w:hint="eastAsia" w:ascii="方正小标宋简体" w:hAnsi="方正小标宋简体" w:eastAsia="方正小标宋简体" w:cs="方正小标宋简体"/>
          <w:i w:val="0"/>
          <w:color w:val="000000"/>
          <w:kern w:val="0"/>
          <w:sz w:val="40"/>
          <w:szCs w:val="40"/>
          <w:u w:val="none"/>
          <w:lang w:val="en-US" w:eastAsia="zh-CN" w:bidi="ar"/>
        </w:rPr>
        <w:t>广东省卫生健康委员会重大行政执法事项目录清单</w:t>
      </w:r>
    </w:p>
    <w:bookmarkEnd w:id="0"/>
    <w:p>
      <w:pPr>
        <w:jc w:val="center"/>
        <w:rPr>
          <w:rFonts w:hint="eastAsia" w:ascii="方正小标宋简体" w:hAnsi="方正小标宋简体" w:eastAsia="方正小标宋简体" w:cs="方正小标宋简体"/>
          <w:i w:val="0"/>
          <w:color w:val="000000"/>
          <w:kern w:val="0"/>
          <w:sz w:val="40"/>
          <w:szCs w:val="40"/>
          <w:u w:val="none"/>
          <w:lang w:val="en-US" w:eastAsia="zh-CN" w:bidi="ar"/>
        </w:rPr>
      </w:pPr>
    </w:p>
    <w:tbl>
      <w:tblPr>
        <w:tblStyle w:val="2"/>
        <w:tblW w:w="14114" w:type="dxa"/>
        <w:jc w:val="center"/>
        <w:tblInd w:w="-1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02"/>
        <w:gridCol w:w="1408"/>
        <w:gridCol w:w="960"/>
        <w:gridCol w:w="3032"/>
        <w:gridCol w:w="3928"/>
        <w:gridCol w:w="39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0" w:hRule="atLeast"/>
          <w:tblHeader/>
          <w:jc w:val="center"/>
        </w:trPr>
        <w:tc>
          <w:tcPr>
            <w:tcW w:w="80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序号</w:t>
            </w:r>
          </w:p>
        </w:tc>
        <w:tc>
          <w:tcPr>
            <w:tcW w:w="1408"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执法类别</w:t>
            </w:r>
          </w:p>
        </w:tc>
        <w:tc>
          <w:tcPr>
            <w:tcW w:w="3992" w:type="dxa"/>
            <w:gridSpan w:val="2"/>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执法事项</w:t>
            </w:r>
          </w:p>
        </w:tc>
        <w:tc>
          <w:tcPr>
            <w:tcW w:w="392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执法依据</w:t>
            </w:r>
          </w:p>
        </w:tc>
        <w:tc>
          <w:tcPr>
            <w:tcW w:w="398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认定标准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0" w:hRule="atLeast"/>
          <w:jc w:val="center"/>
        </w:trPr>
        <w:tc>
          <w:tcPr>
            <w:tcW w:w="80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1</w:t>
            </w:r>
          </w:p>
        </w:tc>
        <w:tc>
          <w:tcPr>
            <w:tcW w:w="1408" w:type="dxa"/>
            <w:vMerge w:val="restart"/>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行政处罚</w:t>
            </w:r>
          </w:p>
        </w:tc>
        <w:tc>
          <w:tcPr>
            <w:tcW w:w="960" w:type="dxa"/>
            <w:vMerge w:val="restart"/>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本委直接实施</w:t>
            </w:r>
          </w:p>
        </w:tc>
        <w:tc>
          <w:tcPr>
            <w:tcW w:w="303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对已经取得资质认可的职业卫生技术服务机构，不再符合规定的资质条件的违法行为的处罚</w:t>
            </w:r>
          </w:p>
        </w:tc>
        <w:tc>
          <w:tcPr>
            <w:tcW w:w="3928"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《职业卫生技术服务机构监督管理暂行办法》（2015年修正）第四十七条</w:t>
            </w:r>
          </w:p>
        </w:tc>
        <w:tc>
          <w:tcPr>
            <w:tcW w:w="3984" w:type="dxa"/>
            <w:vMerge w:val="restart"/>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适用一般程序作出行政处罚决定的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jc w:val="center"/>
        </w:trPr>
        <w:tc>
          <w:tcPr>
            <w:tcW w:w="80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2</w:t>
            </w:r>
          </w:p>
        </w:tc>
        <w:tc>
          <w:tcPr>
            <w:tcW w:w="1408"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8"/>
                <w:szCs w:val="28"/>
                <w:u w:val="none"/>
              </w:rPr>
            </w:pPr>
          </w:p>
        </w:tc>
        <w:tc>
          <w:tcPr>
            <w:tcW w:w="960"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8"/>
                <w:szCs w:val="28"/>
                <w:u w:val="none"/>
              </w:rPr>
            </w:pPr>
          </w:p>
        </w:tc>
        <w:tc>
          <w:tcPr>
            <w:tcW w:w="303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对非法开展人类辅助生殖技术的行为的行政处罚</w:t>
            </w:r>
          </w:p>
        </w:tc>
        <w:tc>
          <w:tcPr>
            <w:tcW w:w="3928"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《人类辅助生殖技术管理办法》第二十二条</w:t>
            </w:r>
          </w:p>
        </w:tc>
        <w:tc>
          <w:tcPr>
            <w:tcW w:w="3984"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jc w:val="center"/>
        </w:trPr>
        <w:tc>
          <w:tcPr>
            <w:tcW w:w="80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3</w:t>
            </w:r>
          </w:p>
        </w:tc>
        <w:tc>
          <w:tcPr>
            <w:tcW w:w="1408"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8"/>
                <w:szCs w:val="28"/>
                <w:u w:val="none"/>
              </w:rPr>
            </w:pPr>
          </w:p>
        </w:tc>
        <w:tc>
          <w:tcPr>
            <w:tcW w:w="960"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8"/>
                <w:szCs w:val="28"/>
                <w:u w:val="none"/>
              </w:rPr>
            </w:pPr>
          </w:p>
        </w:tc>
        <w:tc>
          <w:tcPr>
            <w:tcW w:w="303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对违反《人类精子库管理办法》的行为的行政处罚</w:t>
            </w:r>
          </w:p>
        </w:tc>
        <w:tc>
          <w:tcPr>
            <w:tcW w:w="3928"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《人类精子库管理办法》第15号第二十四条</w:t>
            </w:r>
          </w:p>
        </w:tc>
        <w:tc>
          <w:tcPr>
            <w:tcW w:w="3984"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0" w:hRule="atLeast"/>
          <w:jc w:val="center"/>
        </w:trPr>
        <w:tc>
          <w:tcPr>
            <w:tcW w:w="80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4</w:t>
            </w:r>
          </w:p>
        </w:tc>
        <w:tc>
          <w:tcPr>
            <w:tcW w:w="1408"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8"/>
                <w:szCs w:val="28"/>
                <w:u w:val="none"/>
              </w:rPr>
            </w:pPr>
          </w:p>
        </w:tc>
        <w:tc>
          <w:tcPr>
            <w:tcW w:w="960"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8"/>
                <w:szCs w:val="28"/>
                <w:u w:val="none"/>
              </w:rPr>
            </w:pPr>
          </w:p>
        </w:tc>
        <w:tc>
          <w:tcPr>
            <w:tcW w:w="303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对发布虚假医疗广告的行为的行政处罚</w:t>
            </w:r>
          </w:p>
        </w:tc>
        <w:tc>
          <w:tcPr>
            <w:tcW w:w="3928"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《中华人民共和国广告法》（2015年修订）第五十五条、第五十八条</w:t>
            </w:r>
          </w:p>
        </w:tc>
        <w:tc>
          <w:tcPr>
            <w:tcW w:w="3984"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40" w:hRule="atLeast"/>
          <w:jc w:val="center"/>
        </w:trPr>
        <w:tc>
          <w:tcPr>
            <w:tcW w:w="80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5</w:t>
            </w:r>
          </w:p>
        </w:tc>
        <w:tc>
          <w:tcPr>
            <w:tcW w:w="1408"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8"/>
                <w:szCs w:val="28"/>
                <w:u w:val="none"/>
              </w:rPr>
            </w:pPr>
          </w:p>
        </w:tc>
        <w:tc>
          <w:tcPr>
            <w:tcW w:w="960"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8"/>
                <w:szCs w:val="28"/>
                <w:u w:val="none"/>
              </w:rPr>
            </w:pPr>
          </w:p>
        </w:tc>
        <w:tc>
          <w:tcPr>
            <w:tcW w:w="303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对职业卫生技术服务机构以不正当手段申请资质、办理资质延续、取得资质证书等违法行为的处罚</w:t>
            </w:r>
          </w:p>
        </w:tc>
        <w:tc>
          <w:tcPr>
            <w:tcW w:w="3928"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《职业卫生技术服务机构监督管理暂行办法》（2015年修正）第四十二条</w:t>
            </w:r>
          </w:p>
        </w:tc>
        <w:tc>
          <w:tcPr>
            <w:tcW w:w="3984"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80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6</w:t>
            </w:r>
          </w:p>
        </w:tc>
        <w:tc>
          <w:tcPr>
            <w:tcW w:w="1408"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8"/>
                <w:szCs w:val="28"/>
                <w:u w:val="none"/>
              </w:rPr>
            </w:pPr>
          </w:p>
        </w:tc>
        <w:tc>
          <w:tcPr>
            <w:tcW w:w="960"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由市县 实施属地执法</w:t>
            </w:r>
          </w:p>
        </w:tc>
        <w:tc>
          <w:tcPr>
            <w:tcW w:w="303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对以不正当手段取得医师执业证书、非法采集血液或者组织他人出卖血液等其他卫生健康行政违法事项的处罚</w:t>
            </w:r>
          </w:p>
        </w:tc>
        <w:tc>
          <w:tcPr>
            <w:tcW w:w="3928"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《广东省人民政府关于公布省直部门权责清单（第二批）的决定》（粤府〔2015〕24号）、《广东省人民政府办公厅关于调整省直有关部门职能的通知》（粤府办〔2015〕8号）及相应的法律法规</w:t>
            </w:r>
          </w:p>
        </w:tc>
        <w:tc>
          <w:tcPr>
            <w:tcW w:w="3984"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各地上报本委的重大复杂或跨区域执法案件中符合下列情形之一的：</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1、涉及重大公共利益、社会关注度高、可能造成重大社会影响或者引发社会风险的；</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2、直接关系行政相对人或者第三人重大权益，或者案件情况疑难复杂、涉及多个法律关系的；</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3、经过听证程序作出行政处罚决定的；</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4、法律、法规、规章或者规范性文件规定应当进行法制审核的。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80" w:hRule="atLeast"/>
          <w:jc w:val="center"/>
        </w:trPr>
        <w:tc>
          <w:tcPr>
            <w:tcW w:w="80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7</w:t>
            </w:r>
          </w:p>
        </w:tc>
        <w:tc>
          <w:tcPr>
            <w:tcW w:w="1408" w:type="dxa"/>
            <w:vMerge w:val="restart"/>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行政许可</w:t>
            </w:r>
          </w:p>
        </w:tc>
        <w:tc>
          <w:tcPr>
            <w:tcW w:w="960" w:type="dxa"/>
            <w:vMerge w:val="restart"/>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本委直接实施</w:t>
            </w:r>
          </w:p>
        </w:tc>
        <w:tc>
          <w:tcPr>
            <w:tcW w:w="303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高致病性病原微生物实验活动生物安全初审（目录外）、审批（目录内）</w:t>
            </w:r>
          </w:p>
        </w:tc>
        <w:tc>
          <w:tcPr>
            <w:tcW w:w="3928"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《人间传染的高致病性病原微生物实验室和实验活动生物安全审批管理办法》第八条；《病原微生物实验室生物安全管理条例》第二十一条</w:t>
            </w:r>
          </w:p>
        </w:tc>
        <w:tc>
          <w:tcPr>
            <w:tcW w:w="3984" w:type="dxa"/>
            <w:vMerge w:val="restart"/>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符合下列情形之一的：</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1、涉及重大公共利益、社会关注度高、可能造成重大社会影响或者引发社会风险的；</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2、直接关系行政相对人或者第三人重大权益，或者案件情况疑难复杂、涉及多个法律关系的；</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3、经过听证程序作出行政许可决定的；</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4、法律、法规、规章或者规范性文件规定应当进行法制审核的。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0" w:hRule="atLeast"/>
          <w:jc w:val="center"/>
        </w:trPr>
        <w:tc>
          <w:tcPr>
            <w:tcW w:w="80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8</w:t>
            </w:r>
          </w:p>
        </w:tc>
        <w:tc>
          <w:tcPr>
            <w:tcW w:w="1408"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8"/>
                <w:szCs w:val="28"/>
                <w:u w:val="none"/>
              </w:rPr>
            </w:pPr>
          </w:p>
        </w:tc>
        <w:tc>
          <w:tcPr>
            <w:tcW w:w="960"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8"/>
                <w:szCs w:val="28"/>
                <w:u w:val="none"/>
              </w:rPr>
            </w:pPr>
          </w:p>
        </w:tc>
        <w:tc>
          <w:tcPr>
            <w:tcW w:w="303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高致病性病原微生物运输初审、审批</w:t>
            </w:r>
          </w:p>
        </w:tc>
        <w:tc>
          <w:tcPr>
            <w:tcW w:w="3928"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《病原微生物实验室生物安全管理条例》第十一条；《可感染人类的高致病性病原微生物菌（毒）种或样本运输管理规定》第九条</w:t>
            </w:r>
          </w:p>
        </w:tc>
        <w:tc>
          <w:tcPr>
            <w:tcW w:w="3984"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20" w:hRule="atLeast"/>
          <w:jc w:val="center"/>
        </w:trPr>
        <w:tc>
          <w:tcPr>
            <w:tcW w:w="80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9</w:t>
            </w:r>
          </w:p>
        </w:tc>
        <w:tc>
          <w:tcPr>
            <w:tcW w:w="1408"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8"/>
                <w:szCs w:val="28"/>
                <w:u w:val="none"/>
              </w:rPr>
            </w:pPr>
          </w:p>
        </w:tc>
        <w:tc>
          <w:tcPr>
            <w:tcW w:w="960"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8"/>
                <w:szCs w:val="28"/>
                <w:u w:val="none"/>
              </w:rPr>
            </w:pPr>
          </w:p>
        </w:tc>
        <w:tc>
          <w:tcPr>
            <w:tcW w:w="303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人体器官移植医师执业资格认定</w:t>
            </w:r>
          </w:p>
        </w:tc>
        <w:tc>
          <w:tcPr>
            <w:tcW w:w="3928"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人体器官移植条例》第四条；《国家卫生计生委关于印发人体器官移植医师培训与认定管理办法等有关文件的通知》（国卫医发〔2016〕49号）；《中华人民共和国执业医师法》第八条；《国务院关于取消和调整一批行政审批项目等事项的决定》（国发〔2014〕27号）</w:t>
            </w:r>
          </w:p>
        </w:tc>
        <w:tc>
          <w:tcPr>
            <w:tcW w:w="3984"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80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10</w:t>
            </w:r>
          </w:p>
        </w:tc>
        <w:tc>
          <w:tcPr>
            <w:tcW w:w="1408"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8"/>
                <w:szCs w:val="28"/>
                <w:u w:val="none"/>
              </w:rPr>
            </w:pPr>
          </w:p>
        </w:tc>
        <w:tc>
          <w:tcPr>
            <w:tcW w:w="960"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8"/>
                <w:szCs w:val="28"/>
                <w:u w:val="none"/>
              </w:rPr>
            </w:pPr>
          </w:p>
        </w:tc>
        <w:tc>
          <w:tcPr>
            <w:tcW w:w="303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港澳台医师内地医师资格认定</w:t>
            </w:r>
          </w:p>
        </w:tc>
        <w:tc>
          <w:tcPr>
            <w:tcW w:w="3928"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《卫生部 国家中医药管理局关于印发〈香港和澳门特别行政区医师获得内地医师资格认定管理办法〉的通知》（卫医政发〔2009〕33号）；《中华人民共和国执业医师法》（2009年修正）第八条；</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《卫生部 国家中医药管理局关于印发〈台湾地区医师获得大陆医师资格认定管理办法〉的通知》（卫医政发〔2009〕32号）</w:t>
            </w:r>
          </w:p>
        </w:tc>
        <w:tc>
          <w:tcPr>
            <w:tcW w:w="3984"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62" w:hRule="atLeast"/>
          <w:jc w:val="center"/>
        </w:trPr>
        <w:tc>
          <w:tcPr>
            <w:tcW w:w="80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11</w:t>
            </w:r>
          </w:p>
        </w:tc>
        <w:tc>
          <w:tcPr>
            <w:tcW w:w="1408"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8"/>
                <w:szCs w:val="28"/>
                <w:u w:val="none"/>
              </w:rPr>
            </w:pPr>
          </w:p>
        </w:tc>
        <w:tc>
          <w:tcPr>
            <w:tcW w:w="960"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8"/>
                <w:szCs w:val="28"/>
                <w:u w:val="none"/>
              </w:rPr>
            </w:pPr>
          </w:p>
        </w:tc>
        <w:tc>
          <w:tcPr>
            <w:tcW w:w="303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复转退军人医师资格证书换发（含中医医师）</w:t>
            </w:r>
          </w:p>
        </w:tc>
        <w:tc>
          <w:tcPr>
            <w:tcW w:w="3928"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关于做好军队专业、复员或退休移交地方人民政府安置的医师换领地方〈医师资格证书〉工作有关问题的通知》（卫医发〔2003〕130号）；《中国人民解放军实施〈中华人民共和国执业医师法〉办法》（中央军事委员会令第290号）</w:t>
            </w:r>
          </w:p>
        </w:tc>
        <w:tc>
          <w:tcPr>
            <w:tcW w:w="3984"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7" w:hRule="atLeast"/>
          <w:jc w:val="center"/>
        </w:trPr>
        <w:tc>
          <w:tcPr>
            <w:tcW w:w="80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12</w:t>
            </w:r>
          </w:p>
        </w:tc>
        <w:tc>
          <w:tcPr>
            <w:tcW w:w="1408"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8"/>
                <w:szCs w:val="28"/>
                <w:u w:val="none"/>
              </w:rPr>
            </w:pPr>
          </w:p>
        </w:tc>
        <w:tc>
          <w:tcPr>
            <w:tcW w:w="960"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8"/>
                <w:szCs w:val="28"/>
                <w:u w:val="none"/>
              </w:rPr>
            </w:pPr>
          </w:p>
        </w:tc>
        <w:tc>
          <w:tcPr>
            <w:tcW w:w="303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职业卫生技术服务机构资质认可</w:t>
            </w:r>
          </w:p>
        </w:tc>
        <w:tc>
          <w:tcPr>
            <w:tcW w:w="3928"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《中华人民共和国职业病防治法》（2018年修正）第二十六条；《广东省安全生产条例》第三十二条；《职业卫生技术服务机构管理办法》（国家卫生健康委令第4号）第四条</w:t>
            </w:r>
          </w:p>
        </w:tc>
        <w:tc>
          <w:tcPr>
            <w:tcW w:w="3984"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2" w:hRule="atLeast"/>
          <w:jc w:val="center"/>
        </w:trPr>
        <w:tc>
          <w:tcPr>
            <w:tcW w:w="80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13</w:t>
            </w:r>
          </w:p>
        </w:tc>
        <w:tc>
          <w:tcPr>
            <w:tcW w:w="1408"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8"/>
                <w:szCs w:val="28"/>
                <w:u w:val="none"/>
              </w:rPr>
            </w:pPr>
          </w:p>
        </w:tc>
        <w:tc>
          <w:tcPr>
            <w:tcW w:w="960"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8"/>
                <w:szCs w:val="28"/>
                <w:u w:val="none"/>
              </w:rPr>
            </w:pPr>
          </w:p>
        </w:tc>
        <w:tc>
          <w:tcPr>
            <w:tcW w:w="303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血站执业、单采血浆站许可证核发</w:t>
            </w:r>
          </w:p>
        </w:tc>
        <w:tc>
          <w:tcPr>
            <w:tcW w:w="3928"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《血站管理办法》第13条；《单采血浆站管理办法》第13条</w:t>
            </w:r>
          </w:p>
        </w:tc>
        <w:tc>
          <w:tcPr>
            <w:tcW w:w="3984"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75" w:hRule="atLeast"/>
          <w:jc w:val="center"/>
        </w:trPr>
        <w:tc>
          <w:tcPr>
            <w:tcW w:w="80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14</w:t>
            </w:r>
          </w:p>
        </w:tc>
        <w:tc>
          <w:tcPr>
            <w:tcW w:w="1408"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8"/>
                <w:szCs w:val="28"/>
                <w:u w:val="none"/>
              </w:rPr>
            </w:pPr>
          </w:p>
        </w:tc>
        <w:tc>
          <w:tcPr>
            <w:tcW w:w="960"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8"/>
                <w:szCs w:val="28"/>
                <w:u w:val="none"/>
              </w:rPr>
            </w:pPr>
          </w:p>
        </w:tc>
        <w:tc>
          <w:tcPr>
            <w:tcW w:w="303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医疗机构开展人类辅助生殖技术许可</w:t>
            </w:r>
          </w:p>
        </w:tc>
        <w:tc>
          <w:tcPr>
            <w:tcW w:w="3928"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《人类辅助生殖技术管理办法》第七条；《国务院对确需保留的行政审批项目设定行政许可的决定》（国务院令第412号）；《国务院关于第四批取消和调整行政审批项目的决定》（国发〔2007〕33号）</w:t>
            </w:r>
          </w:p>
        </w:tc>
        <w:tc>
          <w:tcPr>
            <w:tcW w:w="3984"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75" w:hRule="atLeast"/>
          <w:jc w:val="center"/>
        </w:trPr>
        <w:tc>
          <w:tcPr>
            <w:tcW w:w="80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15</w:t>
            </w:r>
          </w:p>
        </w:tc>
        <w:tc>
          <w:tcPr>
            <w:tcW w:w="1408"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8"/>
                <w:szCs w:val="28"/>
                <w:u w:val="none"/>
              </w:rPr>
            </w:pPr>
          </w:p>
        </w:tc>
        <w:tc>
          <w:tcPr>
            <w:tcW w:w="960"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8"/>
                <w:szCs w:val="28"/>
                <w:u w:val="none"/>
              </w:rPr>
            </w:pPr>
          </w:p>
        </w:tc>
        <w:tc>
          <w:tcPr>
            <w:tcW w:w="303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医疗机构设置人类精子库审批</w:t>
            </w:r>
          </w:p>
        </w:tc>
        <w:tc>
          <w:tcPr>
            <w:tcW w:w="3928"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《人类精子库管理办法》第八条；《国务院关于第四批取消和调整行政审批项目的决定》（国发〔2007〕33号）；《国务院对确需保留的行政审批项目设定行政许可的决定》（国务院令第412号）</w:t>
            </w:r>
          </w:p>
        </w:tc>
        <w:tc>
          <w:tcPr>
            <w:tcW w:w="3984"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3" w:hRule="atLeast"/>
          <w:jc w:val="center"/>
        </w:trPr>
        <w:tc>
          <w:tcPr>
            <w:tcW w:w="80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16</w:t>
            </w:r>
          </w:p>
        </w:tc>
        <w:tc>
          <w:tcPr>
            <w:tcW w:w="1408"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8"/>
                <w:szCs w:val="28"/>
                <w:u w:val="none"/>
              </w:rPr>
            </w:pPr>
          </w:p>
        </w:tc>
        <w:tc>
          <w:tcPr>
            <w:tcW w:w="960"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8"/>
                <w:szCs w:val="28"/>
                <w:u w:val="none"/>
              </w:rPr>
            </w:pPr>
          </w:p>
        </w:tc>
        <w:tc>
          <w:tcPr>
            <w:tcW w:w="303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大型医用设备配置许可证核发初审、审批</w:t>
            </w:r>
          </w:p>
        </w:tc>
        <w:tc>
          <w:tcPr>
            <w:tcW w:w="3928"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《大型医用设备配置与使用管理办法（试行）》（国卫规划发〔2018〕12号）第十九条；《医疗器械监督管理条例》（国务院令第739号）</w:t>
            </w:r>
          </w:p>
        </w:tc>
        <w:tc>
          <w:tcPr>
            <w:tcW w:w="3984"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40" w:hRule="atLeast"/>
          <w:jc w:val="center"/>
        </w:trPr>
        <w:tc>
          <w:tcPr>
            <w:tcW w:w="80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17</w:t>
            </w:r>
          </w:p>
        </w:tc>
        <w:tc>
          <w:tcPr>
            <w:tcW w:w="1408"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8"/>
                <w:szCs w:val="28"/>
                <w:u w:val="none"/>
              </w:rPr>
            </w:pPr>
          </w:p>
        </w:tc>
        <w:tc>
          <w:tcPr>
            <w:tcW w:w="960"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8"/>
                <w:szCs w:val="28"/>
                <w:u w:val="none"/>
              </w:rPr>
            </w:pPr>
          </w:p>
        </w:tc>
        <w:tc>
          <w:tcPr>
            <w:tcW w:w="303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职业病诊断资格证书核发</w:t>
            </w:r>
          </w:p>
        </w:tc>
        <w:tc>
          <w:tcPr>
            <w:tcW w:w="3928"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《中华人民共和国职业病防治法》（2018年修正）第四十六条；《职业病诊断与鉴定管理办法》第十六条</w:t>
            </w:r>
          </w:p>
        </w:tc>
        <w:tc>
          <w:tcPr>
            <w:tcW w:w="3984"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40" w:hRule="atLeast"/>
          <w:jc w:val="center"/>
        </w:trPr>
        <w:tc>
          <w:tcPr>
            <w:tcW w:w="80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18</w:t>
            </w:r>
          </w:p>
        </w:tc>
        <w:tc>
          <w:tcPr>
            <w:tcW w:w="1408"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8"/>
                <w:szCs w:val="28"/>
                <w:u w:val="none"/>
              </w:rPr>
            </w:pPr>
          </w:p>
        </w:tc>
        <w:tc>
          <w:tcPr>
            <w:tcW w:w="960"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8"/>
                <w:szCs w:val="28"/>
                <w:u w:val="none"/>
              </w:rPr>
            </w:pPr>
          </w:p>
        </w:tc>
        <w:tc>
          <w:tcPr>
            <w:tcW w:w="303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医疗机构人体器官移植执业资格认定</w:t>
            </w:r>
          </w:p>
        </w:tc>
        <w:tc>
          <w:tcPr>
            <w:tcW w:w="3928"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《人体器官移植条例》第十一条；《国家卫生健康委关于印发自由贸易试验区“证照分离”改革卫生健康事项实施方案的通知》（国卫法规发〔2019〕62号）</w:t>
            </w:r>
          </w:p>
        </w:tc>
        <w:tc>
          <w:tcPr>
            <w:tcW w:w="3984"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80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19</w:t>
            </w:r>
          </w:p>
        </w:tc>
        <w:tc>
          <w:tcPr>
            <w:tcW w:w="1408"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8"/>
                <w:szCs w:val="28"/>
                <w:u w:val="none"/>
              </w:rPr>
            </w:pPr>
          </w:p>
        </w:tc>
        <w:tc>
          <w:tcPr>
            <w:tcW w:w="960"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委托各地实施</w:t>
            </w:r>
          </w:p>
        </w:tc>
        <w:tc>
          <w:tcPr>
            <w:tcW w:w="303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母婴保健技术考核合格证书核发、戒毒医疗服务许可等其他卫生健康行政许可事项</w:t>
            </w:r>
          </w:p>
        </w:tc>
        <w:tc>
          <w:tcPr>
            <w:tcW w:w="3928"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《广东省人民政府关于调整实施一批省级权责清单事项的决定》（广东省人民政府令第270号）及相应的法律法规</w:t>
            </w:r>
          </w:p>
        </w:tc>
        <w:tc>
          <w:tcPr>
            <w:tcW w:w="3984"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各地上报本委的重大复杂或跨区域执法案件中符合下列情形之一的：</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1、涉及重大公共利益、社会关注度高、可能造成重大社会影响或者引发社会风险的；</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2、直接关系行政相对人或者第三人重大权益，或者案件情况疑难复杂、涉及多个法律关系的；</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3、经过听证程序作出行政许可决定的；</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4、法律、法规、规章或者规范性文件规定应当进行法制审核的。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28" w:hRule="atLeast"/>
          <w:jc w:val="center"/>
        </w:trPr>
        <w:tc>
          <w:tcPr>
            <w:tcW w:w="80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20</w:t>
            </w:r>
          </w:p>
        </w:tc>
        <w:tc>
          <w:tcPr>
            <w:tcW w:w="1408"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行政强制</w:t>
            </w:r>
          </w:p>
        </w:tc>
        <w:tc>
          <w:tcPr>
            <w:tcW w:w="960"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由市县 实施属地执法</w:t>
            </w:r>
          </w:p>
        </w:tc>
        <w:tc>
          <w:tcPr>
            <w:tcW w:w="303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对被传染病病原体污染的公共饮用水源、食品以及相关物品实施封闭、封存或者暂停销售等行政强制措施</w:t>
            </w:r>
          </w:p>
        </w:tc>
        <w:tc>
          <w:tcPr>
            <w:tcW w:w="3928"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《广东省人民政府关于公布省直部门权责清单（第二批）的决定》（粤府〔2015〕24号）、《广东省人民政府办公厅关于调整省直有关部门职能的通知》（粤府办〔2015〕8号）及相应的法律法规</w:t>
            </w:r>
          </w:p>
        </w:tc>
        <w:tc>
          <w:tcPr>
            <w:tcW w:w="3984"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各地上报本委的重大复杂或跨区域执法案件中符合下列情形之一的：</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1、涉及重大公共利益、社会关注度高、可能造成重大社会影响或者引发社会风险的；</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2、直接关系行政相对人或者第三人重大权益，或者案件情况疑难复杂、涉及多个法律关系的；</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3、经过听证程序作出行政强制决定的；</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4、法律、法规、规章或者规范性文件规定应当进行法制审核的。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40" w:hRule="atLeast"/>
          <w:jc w:val="center"/>
        </w:trPr>
        <w:tc>
          <w:tcPr>
            <w:tcW w:w="80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21</w:t>
            </w:r>
          </w:p>
        </w:tc>
        <w:tc>
          <w:tcPr>
            <w:tcW w:w="1408" w:type="dxa"/>
            <w:vMerge w:val="restart"/>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行政检查</w:t>
            </w:r>
          </w:p>
        </w:tc>
        <w:tc>
          <w:tcPr>
            <w:tcW w:w="960" w:type="dxa"/>
            <w:vMerge w:val="restart"/>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本委直接实施</w:t>
            </w:r>
          </w:p>
        </w:tc>
        <w:tc>
          <w:tcPr>
            <w:tcW w:w="303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对免疫规划制度的实施、预防接种活动进行监督检查</w:t>
            </w:r>
          </w:p>
        </w:tc>
        <w:tc>
          <w:tcPr>
            <w:tcW w:w="3928"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《中华人民共和国疫苗管理法》第七十条</w:t>
            </w:r>
          </w:p>
        </w:tc>
        <w:tc>
          <w:tcPr>
            <w:tcW w:w="3984" w:type="dxa"/>
            <w:vMerge w:val="restart"/>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符合下列情形之一的：</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1、涉及重大公共利益、社会关注度高、可能造成重大社会影响或者引发社会风险的；</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2、直接关系行政相对人或者第三人重大权益，或者案件情况疑难复杂、涉及多个法律关系的；</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3、经过听证程序作出行政许可决定的；</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4、法律、法规、规章或者规范性文件规定应当进行法制审核的。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0" w:hRule="atLeast"/>
          <w:jc w:val="center"/>
        </w:trPr>
        <w:tc>
          <w:tcPr>
            <w:tcW w:w="80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22</w:t>
            </w:r>
          </w:p>
        </w:tc>
        <w:tc>
          <w:tcPr>
            <w:tcW w:w="1408"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8"/>
                <w:szCs w:val="28"/>
                <w:u w:val="none"/>
              </w:rPr>
            </w:pPr>
          </w:p>
        </w:tc>
        <w:tc>
          <w:tcPr>
            <w:tcW w:w="960"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8"/>
                <w:szCs w:val="28"/>
                <w:u w:val="none"/>
              </w:rPr>
            </w:pPr>
          </w:p>
        </w:tc>
        <w:tc>
          <w:tcPr>
            <w:tcW w:w="303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对本行政区域内的血吸虫病防治工作进行监督管理</w:t>
            </w:r>
          </w:p>
        </w:tc>
        <w:tc>
          <w:tcPr>
            <w:tcW w:w="3928"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《血吸虫病防治条例》第三条、第三十九条</w:t>
            </w:r>
          </w:p>
        </w:tc>
        <w:tc>
          <w:tcPr>
            <w:tcW w:w="3984"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0" w:hRule="atLeast"/>
          <w:jc w:val="center"/>
        </w:trPr>
        <w:tc>
          <w:tcPr>
            <w:tcW w:w="80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23</w:t>
            </w:r>
          </w:p>
        </w:tc>
        <w:tc>
          <w:tcPr>
            <w:tcW w:w="1408"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其他行政 执法行为</w:t>
            </w:r>
          </w:p>
        </w:tc>
        <w:tc>
          <w:tcPr>
            <w:tcW w:w="3992" w:type="dxa"/>
            <w:gridSpan w:val="2"/>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rPr>
                <w:rFonts w:hint="default" w:ascii="Times New Roman" w:hAnsi="Times New Roman" w:eastAsia="宋体" w:cs="Times New Roman"/>
                <w:i w:val="0"/>
                <w:color w:val="000000"/>
                <w:sz w:val="22"/>
                <w:szCs w:val="22"/>
                <w:u w:val="none"/>
              </w:rPr>
            </w:pPr>
          </w:p>
        </w:tc>
        <w:tc>
          <w:tcPr>
            <w:tcW w:w="392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rPr>
                <w:rFonts w:hint="default" w:ascii="Times New Roman" w:hAnsi="Times New Roman" w:eastAsia="宋体" w:cs="Times New Roman"/>
                <w:i w:val="0"/>
                <w:color w:val="000000"/>
                <w:sz w:val="22"/>
                <w:szCs w:val="22"/>
                <w:u w:val="none"/>
              </w:rPr>
            </w:pPr>
          </w:p>
        </w:tc>
        <w:tc>
          <w:tcPr>
            <w:tcW w:w="3984"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符合下列情形之一的：                       1、决定将违法行为移送司法机关追究刑事责任的；</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2、涉及重大公共利益、社会关注度高、可能造成重大社会影响或者引发社会风险的；</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3、直接关系行政相对人或者第三人重大权益，或者案件情况疑难复杂、涉及多个法律关系的；</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4、经过听证程序作出行政执法决定的；</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5、法律、法规、规章或者规范性文件规定应当进行法制审核的。</w:t>
            </w:r>
          </w:p>
        </w:tc>
      </w:tr>
    </w:tbl>
    <w:p/>
    <w:sectPr>
      <w:pgSz w:w="16838" w:h="11906" w:orient="landscape"/>
      <w:pgMar w:top="1531" w:right="2041" w:bottom="1531" w:left="204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D22B2B"/>
    <w:rsid w:val="2AD22B2B"/>
    <w:rsid w:val="45CA5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2021-09-28T01:27:00Z</dcterms:created>
  <dc:creator>eva</dc:creator>
  <cp:lastModifiedBy>eva</cp:lastModifiedBy>
  <dcterms:modified xsi:type="dcterms:W3CDTF">2021-09-28T01:27:35Z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