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290"/>
        <w:gridCol w:w="3213"/>
        <w:gridCol w:w="6755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beforeLines="20" w:after="220" w:afterLines="50" w:line="7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广东省紧密型县域医共体建设运行监测表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38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ind w:firstLine="720" w:firstLineChars="3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___ 县（市、区）卫生健康局（盖章）      填表人：         联系电话：            填报时间：____年___ 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指标说明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一、有序就医格局基本形成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县域内基层医疗卫生机构门急诊占比（%）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【计算方法】县域内基层医疗卫生机构门急诊占比（%）=基层医疗卫生机构门急诊人次/县域内门急诊总人次×100%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牵头医院下转患者数量占比（%）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【计算方法】牵头医院下转患者数量占比（%）=牵头医院本年度向基层下转住院患者人次/牵头医院总出院患者人次×100%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【数据来源】医联体监测平台。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慢病患者基层医疗卫生机构管理率（%）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【计算方法】慢病患者基层医疗卫生机构管理率（%）=高血压、糖尿病患者管理人数/高血压、糖尿病确诊登记人数×100%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【数据来源】基层公共卫生信息系统、医疗服务报表。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基层医疗卫生机构人均收入与牵头医院人均收入的比值（%）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【计算方法】基层医疗卫生机构人均收入与牵头医院人均收入的比值（%）=基层医疗卫生机构人均收入/牵头医院人均收入×100%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县域医共体内基层医疗卫生机构住院率（%）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【计算方法】县域医共体内基层医疗卫生机构住院率（%）=县域医共体内基层医疗卫生机构住院人数/县域医共体住院总人数×100%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二、县域医疗卫生服务能力提升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通过省级认证的广东省胸痛救治单元验收的基层分院占比（%）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【计算方法】通过省级认证的广东省胸痛救治单元验收的基层分院占比=通过广东省胸痛救治单元验收的基层分院数量/所有基层分院的数量×100%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牵头医院出院患者三四级手术比例（%）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【计算方法】牵头医院出院患者三四级手术比例（%）=三四级手术台次数/同期出院患者手术台次数×100%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【数据来源】牵头医院病案信息系统。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区域内万人口全科医生数</w:t>
            </w:r>
          </w:p>
          <w:p>
            <w:pPr>
              <w:pStyle w:val="6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【计算方法】区域内万人口全科医生数=年末全科医生数/同年末常住人口数×10000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【指标来源】卫生健康统计年鉴。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牵头医院帮助基层开展新技术、新项目的数量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开展新技术、新项目名称、数量、进展情况等佐证支撑材料。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【数据来源】牵头医院。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能够开展二级手术的中心卫生院占比（%）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【计算方法】能够开展二级手术的中心卫生院间数/本县中心卫生院间数×100%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能够开展一级手术的中心卫生院占比（%）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【计算方法】能够开展一级手术的中心卫生院间数/本县中心卫生院间数×100%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二、县域医疗卫生服务能力提升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能够开展一级手术的一般乡镇卫生院占比（%）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【计算方法】能够开展一级手术的一般乡镇卫生院间数/本县一般乡镇卫生院间数×100%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能够开展二级手术的一般乡镇卫生院占比（%）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【计算方法】能够开展二级手术的一般乡镇卫生院间数/本县一般乡镇卫生院间数×100%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具备住院分娩能力的乡镇卫生院比例（%）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【计算方法】具备住院分娩能力的乡镇卫生院间数/本县所有乡镇卫生院间数×100%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规范设置中医药诊疗服务区的乡镇卫生院比例（%）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【计算方法】规范设置中医药诊疗服务区的乡镇卫生院间数/本县所有乡镇卫生院间数×100%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乡镇卫生院特色专科数量增量（个）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【计算方法】乡镇卫生院特色专科数量增量情况等佐证材料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三、医疗卫生资源有效利用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牵头医院医疗服务收入占医疗总收入的比例（%）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【计算方法】牵头医院医疗服务收入占医疗收入的比例（%）=（医疗收入 -药品、耗材、检查和化验收入）/总医疗收入×100%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基层医疗卫生机构医疗服务收入占医疗收入的比例（%）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【计算方法】基层医疗卫生机构医疗服务收入占医疗收入的比例（%）=（医疗收入 -药品、耗材、检查和化验收入）/总医疗收入×100%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kern w:val="2"/>
                <w:sz w:val="21"/>
                <w:szCs w:val="21"/>
                <w:u w:val="none"/>
                <w:lang w:val="en-US" w:eastAsia="zh-CN" w:bidi="ar"/>
              </w:rPr>
              <w:t>三、医疗卫生资源有效利用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县域医共体内基层医疗卫生机构床位使用率（%）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【计算方法】县域医共体内基层医疗卫生机构床位使用率（%）=基层医疗卫生机构实际使用总床日数/实际开放总床日数（注：按编制床位测算）×100%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【数据来源】卫生健康统计年鉴。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牵头医院人员经费占业务支出比例（%）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【计算方法】牵头医院人员经费占业务支出比例（%）=牵头医院人均经费/业务支出×100%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基层医疗卫生机构财政补助收入占总收入的比例（%）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【计算方法】基层医疗卫生机构财政补助收入占总收入的比例（%）=基层医疗卫生机构本年财政补助收入/总收入×100%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远程影像中心服务覆盖基层分院的占比（%）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【计算方法】远程影像中心服务覆盖基层分院的占比=开展远程影像服务的基层分院数量/所有基层分院的数量×100%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远程心电诊断服务覆盖基层分院及村卫生站的占比（%）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【计算方法】远程心电诊断服务覆盖基层分院及村卫生站的占比=开展远程心电诊断服务的基层分院及村卫生站的数量/所有基层分院及村卫生站的数量×100%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县域慢病管理中心服务覆盖基层分院的占比（%）</w:t>
            </w:r>
          </w:p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【新增指标】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【计算方法】县域慢病管理中心服务覆盖基层分院的占比=县域慢病管理中心服务基层分院数量/所有基层分院的数量×100%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四、医保基金使用效能提升</w:t>
            </w: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基层医疗机构医保基金收入在医疗收入总额中的占比（%）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【计算方法】基层医疗卫生机构（城镇职工医疗保险基金收入+城乡居民医疗保险基金收入+其他医疗保险基金收入）/医疗收入总额×100%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县域内医保基金收入在医疗收入总额中的占比（%）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【计算方法】县域医疗卫生机构（城镇职工医疗保险基金收入+城乡居民医疗保险基金收入+其他医疗保险基金收入）/医疗收入总额×100%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【数据来源】县域医共体。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县域门诊次均费用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【计算方法】县域门诊次均费用=县域医疗卫生机构门诊收入/县域医疗卫生机构门诊人次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【数据来源】卫生财务报表。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1"/>
                <w:szCs w:val="21"/>
                <w:u w:val="none"/>
                <w:lang w:bidi="ar"/>
              </w:rPr>
            </w:pPr>
          </w:p>
        </w:tc>
        <w:tc>
          <w:tcPr>
            <w:tcW w:w="3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参保人员住院次均费用</w:t>
            </w:r>
          </w:p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2"/>
                <w:sz w:val="21"/>
                <w:szCs w:val="21"/>
                <w:u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 w:bidi="ar"/>
              </w:rPr>
              <w:t>【国家指标】</w:t>
            </w:r>
          </w:p>
        </w:tc>
        <w:tc>
          <w:tcPr>
            <w:tcW w:w="6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8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【计算方法】参保人员住院次均费用=参保人员住院总费用/参保人员住院次数</w:t>
            </w:r>
          </w:p>
          <w:p>
            <w:pPr>
              <w:pStyle w:val="6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【数据来源】医保信息系统。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  <w:jc w:val="center"/>
        </w:trPr>
        <w:tc>
          <w:tcPr>
            <w:tcW w:w="1380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县（市、区）填一张表，地市收齐后请分别于2022年3月20日前（报送截至2021年度数据）、7月20日前（报送截至2022年上半年数据），报送至省卫生健康委基层处政务邮箱wsjkw_jcc@gd.gov.cn。（2023年以此类推报送。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0BA2"/>
    <w:rsid w:val="0CA20BA2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2021-11-08T01:29:00Z</dcterms:created>
  <dc:creator>eva</dc:creator>
  <cp:lastModifiedBy>eva</cp:lastModifiedBy>
  <dcterms:modified xsi:type="dcterms:W3CDTF">2021-11-08T01:29:58Z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