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283" w:rightChars="611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广东省经批准设置人类精子库的机构名单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（截至2021年</w:t>
      </w: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12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88"/>
        <w:gridCol w:w="1021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100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  <w:lang w:val="en-US" w:eastAsia="zh-CN"/>
              </w:rPr>
              <w:t>生殖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</w:rPr>
              <w:t>医院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  <w:t>0001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vertAlign w:val="baseline"/>
                <w:lang w:val="en-US" w:eastAsia="zh-CN"/>
              </w:rPr>
              <w:t>正式运行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126D4"/>
    <w:rsid w:val="042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2022-01-06T06:32:00Z</dcterms:created>
  <dc:creator>user</dc:creator>
  <cp:lastModifiedBy>user</cp:lastModifiedBy>
  <dcterms:modified xsi:type="dcterms:W3CDTF">2022-01-06T06:32:34Z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