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附件</w:t>
      </w:r>
    </w:p>
    <w:tbl>
      <w:tblPr>
        <w:tblStyle w:val="6"/>
        <w:tblW w:w="110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15"/>
        <w:gridCol w:w="403"/>
        <w:gridCol w:w="2926"/>
        <w:gridCol w:w="984"/>
        <w:gridCol w:w="806"/>
        <w:gridCol w:w="722"/>
        <w:gridCol w:w="695"/>
        <w:gridCol w:w="668"/>
        <w:gridCol w:w="2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1" w:hRule="atLeast"/>
          <w:jc w:val="center"/>
        </w:trPr>
        <w:tc>
          <w:tcPr>
            <w:tcW w:w="1101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8" w:beforeLines="20" w:line="7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kern w:val="0"/>
                <w:sz w:val="36"/>
                <w:szCs w:val="36"/>
                <w:u w:val="none"/>
                <w:lang w:eastAsia="zh-CN" w:bidi="ar"/>
              </w:rPr>
              <w:t>中央对地方转移支付项目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绩效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kern w:val="0"/>
                <w:sz w:val="36"/>
                <w:szCs w:val="36"/>
                <w:u w:val="none"/>
                <w:lang w:eastAsia="zh-CN" w:bidi="ar"/>
              </w:rPr>
              <w:t>评价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lang w:val="en-US" w:eastAsia="zh-CN" w:bidi="ar"/>
              </w:rPr>
              <w:t xml:space="preserve"> 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01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（20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医疗服务与保障能力提升（公立医院综合改革）补助资金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9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国家卫生健康委、国家中医药局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3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省卫生健康委、省中药局</w:t>
            </w: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实施单位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省卫生健康委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5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项目资金（万元）</w:t>
            </w: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5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15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其中：中央补助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48555</w:t>
            </w:r>
          </w:p>
        </w:tc>
        <w:tc>
          <w:tcPr>
            <w:tcW w:w="2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46748.15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96.28%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15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0"/>
                <w:sz w:val="18"/>
                <w:szCs w:val="18"/>
                <w:lang w:val="en-US" w:eastAsia="zh-CN" w:bidi="ar"/>
              </w:rPr>
              <w:t xml:space="preserve">    地方资金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0"/>
                <w:sz w:val="18"/>
                <w:szCs w:val="18"/>
                <w:lang w:val="en-US" w:eastAsia="zh-CN" w:bidi="ar"/>
              </w:rPr>
              <w:t>其他资金</w:t>
            </w:r>
            <w:r>
              <w:rPr>
                <w:rStyle w:val="10"/>
                <w:rFonts w:hint="default" w:ascii="Times New Roman" w:hAnsi="Times New Roman" w:eastAsia="仿宋_GB2312" w:cs="Times New Roman"/>
                <w:spacing w:val="0"/>
                <w:sz w:val="18"/>
                <w:szCs w:val="18"/>
                <w:lang w:val="en-US" w:eastAsia="zh-CN" w:bidi="ar"/>
              </w:rPr>
              <w:t>（包括结转结余）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 xml:space="preserve"> 基本建立具有中国特色的权责清晰、管理科学、治理完善、运行高效、监督有力的现代医院管理制度，建立维护公益性、调动积极性、保障可持续的运行新机制和科学合理的补偿机制。</w:t>
            </w:r>
          </w:p>
        </w:tc>
        <w:tc>
          <w:tcPr>
            <w:tcW w:w="5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我省坚持公立医院改革与管理并重，推动公立医院高质量发展。印发《广东省深入推广福建省三明市经验 深化医药卫生体制改革实施方案》，推广学习福建省和三明市医改经验。建立健全现代医院管理制度，研究起草关于推动公立医院高质量发展的实施意见，在中山一院、香港大学深圳医院开展试点工作。持续推进高水平医院建设。全省共投入150亿元支持建设50家高水平医院，实现21个地市高水平医院全覆盖。推动公立医院人事薪酬制度改革。深圳、珠海、东莞以市为单位、其他地市各选择1家以上公立医院开展试点。健全公立医院绩效考核机制，改革完善医疗卫生行业综合监管制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值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数值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数值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2019年数值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2018年数值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医疗服务收入（不含药品、耗材、检查、化验收入）占公立医院医疗收入的比例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较上年提高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30.74%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30.64%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公立医院资产负债率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41.48%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41.05%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原因：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受个别地市基建账并账及疫苗采购应付账款增加等影响较2020年小幅上涨，与去年相比基本保持平稳，且低于国家平均水平。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整改措施：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进一步加强公立医院发展的统筹规划，助力公立医院良性运营。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公立医院基本建设、设备购置长期负债占总资产的比例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2.99%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3.48%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1000张及以上床位大型公立医院安防系统建设达标率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≥85％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87.77%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1000张及以上床位大型公立医院安检覆盖率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≥75％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75.00%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三级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公立医院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出院患者手术占比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较上年提高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32.51%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30.47%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三级公立医院出院患者四级手术比例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较上年提高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14.54%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13.19%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公立医院平均住院日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较上年降低或≤9.35天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8.16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8.52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公立医院百元医疗收入的医疗支出（不含药品收入）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122.59元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129.02元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基层医疗卫生机构诊疗人次数占医疗卫生机构诊疗总人次数的比例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较上年提高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45.9%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48.10%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0"/>
                <w:sz w:val="18"/>
                <w:szCs w:val="18"/>
                <w:u w:val="none"/>
              </w:rPr>
              <w:t>原因：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（一）各级对分级诊疗制度建设认识有待进一步提高，分级诊疗制度尚不完善。（二）各地区基层卫生健康服务均衡性不足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基层医疗机构医疗服务能力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有待进一步提高。（三）疫情影响基层诊疗量。（四）诊疗信息不准确,存在少报、漏报。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0"/>
                <w:sz w:val="18"/>
                <w:szCs w:val="18"/>
                <w:u w:val="none"/>
              </w:rPr>
              <w:t>整改措施：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一是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加强组织领导；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二是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强化分级诊疗制度建设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全面落实“公益一类财政供给、公益二类绩效管理”等政策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；三是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提升基层服务能力；四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强化督促整改；五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加强信息质控，进一步加强信息系统建设。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公立医院每门急诊人次平均收费水平增长比例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-3.14%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14.34%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公立医院出院者平均医药费用增长比例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4.27%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12.43%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三级公立医院门诊人次数与出院人次数比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21.71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27.71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可持续影响指标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管理费用占公立医院业务支出的比例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12.24%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12.57%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三级公立医院万元收入能耗支出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较上年降低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84.98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实现收支平衡的公立医院数占公立医院总数的比例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较上年提高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71.66%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72.61%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原因：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2021年受疫情政策等影响占比略有下降，但整体高于国家平均水平。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整改措施：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进一步落实经济管理年活动，加强成本控制与预算管理，增加收支平衡机构比例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公立医院职工满意度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≥71分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74.67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公立医院门诊患者满意度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≥87分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84.83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原因：参加满意度调查医院逐年增加，且均为二级医院，患者满意度工作不到位。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整改措施：1、完善预约诊疗制度，优化预约诊疗流程，提升患者诊疗挂号体验；2、加强医院诊疗环境，落实院内指引和标识，提供良好就医体验。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公立医院住院患者满意度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≥91分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90.03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原因：参加满意度调查医院逐年增加，且均为二级医院，患者满意度工作不到位。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  <w:t>整改措施：1、优化出入院手续办理流程，加强智慧医院建设，提供便捷的信息录入服务；2、提高院内补充服务，如饭菜质量、被褥服务等，建立和谐医患关系。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103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80275"/>
    <w:rsid w:val="049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cs="Times New Roman"/>
      <w:szCs w:val="24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customStyle="1" w:styleId="8">
    <w:name w:val="font21"/>
    <w:basedOn w:val="7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9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2022-03-23T06:09:00Z</dcterms:created>
  <dc:creator>user</dc:creator>
  <cp:lastModifiedBy>user</cp:lastModifiedBy>
  <dcterms:modified xsi:type="dcterms:W3CDTF">2022-03-23T06:10:09Z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