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lang w:val="en-US" w:eastAsia="zh-CN"/>
        </w:rPr>
        <w:t>附件</w:t>
      </w:r>
    </w:p>
    <w:tbl>
      <w:tblPr>
        <w:tblStyle w:val="6"/>
        <w:tblW w:w="110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515"/>
        <w:gridCol w:w="403"/>
        <w:gridCol w:w="2926"/>
        <w:gridCol w:w="984"/>
        <w:gridCol w:w="806"/>
        <w:gridCol w:w="722"/>
        <w:gridCol w:w="695"/>
        <w:gridCol w:w="668"/>
        <w:gridCol w:w="26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51" w:hRule="atLeast"/>
          <w:jc w:val="center"/>
        </w:trPr>
        <w:tc>
          <w:tcPr>
            <w:tcW w:w="11012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beforeLines="20" w:line="7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pacing w:val="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spacing w:val="0"/>
                <w:kern w:val="0"/>
                <w:sz w:val="36"/>
                <w:szCs w:val="36"/>
                <w:u w:val="none"/>
                <w:lang w:eastAsia="zh-CN" w:bidi="ar"/>
              </w:rPr>
              <w:t>中央对地方转移支付项目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绩效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spacing w:val="0"/>
                <w:kern w:val="0"/>
                <w:sz w:val="36"/>
                <w:szCs w:val="36"/>
                <w:u w:val="none"/>
                <w:lang w:eastAsia="zh-CN" w:bidi="ar"/>
              </w:rPr>
              <w:t>评价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表</w:t>
            </w:r>
            <w:r>
              <w:rPr>
                <w:rStyle w:val="8"/>
                <w:rFonts w:hint="eastAsia" w:ascii="方正小标宋简体" w:hAnsi="方正小标宋简体" w:eastAsia="方正小标宋简体" w:cs="方正小标宋简体"/>
                <w:b w:val="0"/>
                <w:bCs/>
                <w:spacing w:val="0"/>
                <w:lang w:val="en-US" w:eastAsia="zh-CN" w:bidi="ar"/>
              </w:rPr>
              <w:t xml:space="preserve"> 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012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（20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eastAsia="zh-CN" w:bidi="ar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4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  <w:t>医疗服务与保障能力提升（公立医院综合改革）补助资金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中央主管部门</w:t>
            </w:r>
          </w:p>
        </w:tc>
        <w:tc>
          <w:tcPr>
            <w:tcW w:w="94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  <w:t>国家卫生健康委、国家中医药局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jc w:val="center"/>
        </w:trPr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地方主管部门</w:t>
            </w:r>
          </w:p>
        </w:tc>
        <w:tc>
          <w:tcPr>
            <w:tcW w:w="3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省卫生健康委、省中药局</w:t>
            </w:r>
          </w:p>
        </w:tc>
        <w:tc>
          <w:tcPr>
            <w:tcW w:w="22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实施单位</w:t>
            </w:r>
          </w:p>
        </w:tc>
        <w:tc>
          <w:tcPr>
            <w:tcW w:w="3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省卫生健康委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155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项目资金（万元）</w:t>
            </w:r>
          </w:p>
          <w:p>
            <w:pPr>
              <w:pStyle w:val="5"/>
              <w:ind w:left="0" w:leftChars="0" w:firstLine="0" w:firstLineChars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全年预算数（A）</w:t>
            </w:r>
          </w:p>
        </w:tc>
        <w:tc>
          <w:tcPr>
            <w:tcW w:w="28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全年执行数（B）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执行率（B/A)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155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8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  <w:jc w:val="center"/>
        </w:trPr>
        <w:tc>
          <w:tcPr>
            <w:tcW w:w="155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其中：中央补助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  <w:t>48555</w:t>
            </w:r>
          </w:p>
        </w:tc>
        <w:tc>
          <w:tcPr>
            <w:tcW w:w="28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  <w:t>46748.15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  <w:t>96.28%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  <w:jc w:val="center"/>
        </w:trPr>
        <w:tc>
          <w:tcPr>
            <w:tcW w:w="155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0"/>
                <w:sz w:val="18"/>
                <w:szCs w:val="18"/>
                <w:lang w:val="en-US" w:eastAsia="zh-CN" w:bidi="ar"/>
              </w:rPr>
              <w:t xml:space="preserve">    地方资金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8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155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0"/>
                <w:sz w:val="18"/>
                <w:szCs w:val="18"/>
                <w:lang w:val="en-US" w:eastAsia="zh-CN" w:bidi="ar"/>
              </w:rPr>
              <w:t>其他资金</w:t>
            </w:r>
            <w:r>
              <w:rPr>
                <w:rStyle w:val="10"/>
                <w:rFonts w:hint="default" w:ascii="Times New Roman" w:hAnsi="Times New Roman" w:eastAsia="仿宋_GB2312" w:cs="Times New Roman"/>
                <w:spacing w:val="0"/>
                <w:sz w:val="18"/>
                <w:szCs w:val="18"/>
                <w:lang w:val="en-US" w:eastAsia="zh-CN" w:bidi="ar"/>
              </w:rPr>
              <w:t>（包括结转结余）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8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48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年初设定目标</w:t>
            </w:r>
          </w:p>
        </w:tc>
        <w:tc>
          <w:tcPr>
            <w:tcW w:w="55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全年实际完成情况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8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  <w:t xml:space="preserve"> 基本建立具有中国特色的权责清晰、管理科学、治理完善、运行高效、监督有力的现代医院管理制度，建立维护公益性、调动积极性、保障可持续的运行新机制和科学合理的补偿机制。</w:t>
            </w:r>
          </w:p>
        </w:tc>
        <w:tc>
          <w:tcPr>
            <w:tcW w:w="55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  <w:t>我省坚持公立医院改革与管理并重，推动公立医院高质量发展。印发《广东省深入推广福建省三明市经验 深化医药卫生体制改革实施方案》，推广学习福建省和三明市医改经验。建立健全现代医院管理制度，研究起草关于推动公立医院高质量发展的实施意见，在中山一院、香港大学深圳医院开展试点工作。持续推进高水平医院建设。全省共投入150亿元支持建设50家高水平医院，实现21个地市高水平医院全覆盖。推动公立医院人事薪酬制度改革。深圳、珠海、东莞以市为单位、其他地市各选择1家以上公立医院开展试点。健全公立医院绩效考核机制，改革完善医疗卫生行业综合监管制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eastAsia="zh-CN" w:bidi="ar"/>
              </w:rPr>
              <w:t>值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数值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2020年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数值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2019年数值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2018年数值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未完成原因和改进措施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产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出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  <w:tc>
          <w:tcPr>
            <w:tcW w:w="4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医疗服务收入（不含药品、耗材、检查、化验收入）占公立医院医疗收入的比例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较上年提高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30.74%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30.64%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公立医院资产负债率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较上年降低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41.48%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41.05%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  <w:t>原因：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  <w:t>受个别地市基建账并账及疫苗采购应付账款增加等影响较2020年小幅上涨，与去年相比基本保持平稳，且低于国家平均水平。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  <w:t>整改措施：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  <w:t>进一步加强公立医院发展的统筹规划，助力公立医院良性运营。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eastAsia="zh-CN" w:bidi="ar"/>
              </w:rPr>
              <w:t>公立医院基本建设、设备购置长期负债占总资产的比例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较上年降低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2.99%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3.48%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eastAsia="zh-CN" w:bidi="ar"/>
              </w:rPr>
              <w:t>1000张及以上床位大型公立医院安防系统建设达标率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≥85％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87.77%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eastAsia="zh-CN" w:bidi="ar"/>
              </w:rPr>
              <w:t>1000张及以上床位大型公立医院安检覆盖率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≥75％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75.00%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eastAsia="zh-CN" w:bidi="ar"/>
              </w:rPr>
              <w:t>三级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公立医院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eastAsia="zh-CN" w:bidi="ar"/>
              </w:rPr>
              <w:t>出院患者手术占比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较上年提高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32.51%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30.47%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eastAsia="zh-CN" w:bidi="ar"/>
              </w:rPr>
              <w:t>三级公立医院出院患者四级手术比例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较上年提高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14.54%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13.19%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公立医院平均住院日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较上年降低或≤9.35天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8.16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8.52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公立医院百元医疗收入的医疗支出（不含药品收入）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较上年降低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122.59元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129.02元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  <w:jc w:val="center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益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  <w:tc>
          <w:tcPr>
            <w:tcW w:w="4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基层医疗卫生机构诊疗人次数占医疗卫生机构诊疗总人次数的比例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较上年提高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45.9%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48.10%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pacing w:val="0"/>
                <w:sz w:val="18"/>
                <w:szCs w:val="18"/>
                <w:u w:val="none"/>
              </w:rPr>
              <w:t>原因：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  <w:t>（一）各级对分级诊疗制度建设认识有待进一步提高，分级诊疗制度尚不完善。（二）各地区基层卫生健康服务均衡性不足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基层医疗机构医疗服务能力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  <w:t>有待进一步提高。（三）疫情影响基层诊疗量。（四）诊疗信息不准确,存在少报、漏报。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pacing w:val="0"/>
                <w:sz w:val="18"/>
                <w:szCs w:val="18"/>
                <w:u w:val="none"/>
              </w:rPr>
              <w:t>整改措施：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  <w:t>一是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  <w:t>加强组织领导；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  <w:t>二是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  <w:t>强化分级诊疗制度建设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  <w:t>全面落实“公益一类财政供给、公益二类绩效管理”等政策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  <w:t>；三是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  <w:t>提升基层服务能力；四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  <w:t>强化督促整改；五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  <w:t>加强信息质控，进一步加强信息系统建设。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eastAsia="zh-CN" w:bidi="ar"/>
              </w:rPr>
              <w:t>公立医院每门急诊人次平均收费水平增长比例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较上年降低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-3.14%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14.34%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jc w:val="center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eastAsia="zh-CN" w:bidi="ar"/>
              </w:rPr>
              <w:t>公立医院出院者平均医药费用增长比例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较上年降低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4.27%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12.43%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eastAsia="zh-CN" w:bidi="ar"/>
              </w:rPr>
              <w:t>三级公立医院门诊人次数与出院人次数比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较上年降低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21.71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27.71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  <w:t>可持续影响指标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  <w:t>管理费用占公立医院业务支出的比例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较上年降低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12.24%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12.57%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eastAsia="zh-CN" w:bidi="ar"/>
              </w:rPr>
              <w:t>三级公立医院万元收入能耗支出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较上年降低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77.1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84.98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eastAsia="zh-CN" w:bidi="ar"/>
              </w:rPr>
              <w:t>实现收支平衡的公立医院数占公立医院总数的比例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较上年提高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71.66%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72.61%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  <w:t>原因：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  <w:t>2021年受疫情政策等影响占比略有下降，但整体高于国家平均水平。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  <w:t>整改措施：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  <w:t>进一步落实经济管理年活动，加强成本控制与预算管理，增加收支平衡机构比例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服务对象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公立医院职工满意度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≥71分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74.67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eastAsia="zh-CN" w:bidi="ar"/>
              </w:rPr>
              <w:t>公立医院门诊患者满意度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≥87分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84.83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  <w:t>原因：参加满意度调查医院逐年增加，且均为二级医院，患者满意度工作不到位。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  <w:t>整改措施：1、完善预约诊疗制度，优化预约诊疗流程，提升患者诊疗挂号体验；2、加强医院诊疗环境，落实院内指引和标识，提供良好就医体验。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  <w:t>公立医院住院患者满意度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≥91分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90.03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  <w:t>原因：参加满意度调查医院逐年增加，且均为二级医院，患者满意度工作不到位。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  <w:t>整改措施：1、优化出入院手续办理流程，加强智慧医院建设，提供便捷的信息录入服务；2、提高院内补充服务，如饭菜质量、被褥服务等，建立和谐医患关系。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说明</w:t>
            </w:r>
          </w:p>
        </w:tc>
        <w:tc>
          <w:tcPr>
            <w:tcW w:w="103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sectPr>
          <w:footerReference r:id="rId3" w:type="default"/>
          <w:pgSz w:w="11906" w:h="16838"/>
          <w:pgMar w:top="2041" w:right="1531" w:bottom="2041" w:left="1531" w:header="851" w:footer="1332" w:gutter="0"/>
          <w:pgNumType w:fmt="numberInDash"/>
          <w:cols w:space="720" w:num="1"/>
          <w:titlePg/>
          <w:rtlGutter w:val="0"/>
          <w:docGrid w:type="linesAndChars" w:linePitch="579" w:charSpace="-849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80275"/>
    <w:rsid w:val="0498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  <w:szCs w:val="20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  <w:rPr>
      <w:rFonts w:ascii="Times New Roman" w:hAnsi="Times New Roman" w:cs="Times New Roman"/>
      <w:szCs w:val="24"/>
      <w:lang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  <w:style w:type="character" w:customStyle="1" w:styleId="8">
    <w:name w:val="font21"/>
    <w:basedOn w:val="7"/>
    <w:qFormat/>
    <w:uiPriority w:val="0"/>
    <w:rPr>
      <w:rFonts w:hint="default" w:ascii="Times New Roman" w:hAnsi="Times New Roman" w:eastAsia="宋体" w:cs="Times New Roman"/>
      <w:color w:val="000000"/>
      <w:sz w:val="24"/>
      <w:szCs w:val="24"/>
      <w:u w:val="none"/>
    </w:rPr>
  </w:style>
  <w:style w:type="character" w:customStyle="1" w:styleId="9">
    <w:name w:val="font8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2022-03-23T06:09:00Z</dcterms:created>
  <dc:creator>user</dc:creator>
  <cp:lastModifiedBy>user</cp:lastModifiedBy>
  <dcterms:modified xsi:type="dcterms:W3CDTF">2022-03-23T06:10:09Z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