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before="0" w:after="0" w:line="560" w:lineRule="exact"/>
        <w:ind w:right="0" w:rightChars="0"/>
        <w:jc w:val="left"/>
        <w:textAlignment w:val="auto"/>
        <w:outlineLvl w:val="9"/>
        <w:rPr>
          <w:rFonts w:hint="default" w:ascii="Times New Roman" w:hAnsi="Times New Roman" w:eastAsia="方正黑体_GBK" w:cs="Times New Roman"/>
          <w:sz w:val="32"/>
          <w:szCs w:val="32"/>
          <w:highlight w:val="none"/>
          <w:lang w:val="en-US" w:eastAsia="zh-CN"/>
        </w:rPr>
      </w:pPr>
      <w:r>
        <w:rPr>
          <w:rFonts w:hint="eastAsia" w:ascii="黑体" w:hAnsi="黑体" w:eastAsia="黑体" w:cs="黑体"/>
          <w:sz w:val="32"/>
          <w:szCs w:val="32"/>
          <w:highlight w:val="none"/>
          <w:lang w:val="en-US" w:eastAsia="zh-CN"/>
        </w:rPr>
        <w:t>附件</w:t>
      </w:r>
      <w:r>
        <w:rPr>
          <w:rFonts w:hint="default" w:ascii="Times New Roman" w:hAnsi="Times New Roman" w:eastAsia="方正黑体_GBK" w:cs="Times New Roman"/>
          <w:sz w:val="32"/>
          <w:szCs w:val="32"/>
          <w:highlight w:val="none"/>
          <w:lang w:val="en-US" w:eastAsia="zh-CN"/>
        </w:rPr>
        <w:t>1</w:t>
      </w:r>
    </w:p>
    <w:p>
      <w:pPr>
        <w:pStyle w:val="7"/>
        <w:keepNext w:val="0"/>
        <w:keepLines w:val="0"/>
        <w:pageBreakBefore w:val="0"/>
        <w:widowControl w:val="0"/>
        <w:kinsoku/>
        <w:wordWrap/>
        <w:overflowPunct/>
        <w:topLinePunct w:val="0"/>
        <w:autoSpaceDE/>
        <w:autoSpaceDN/>
        <w:bidi w:val="0"/>
        <w:spacing w:line="560" w:lineRule="exact"/>
        <w:ind w:right="0" w:rightChars="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rPr>
      </w:pPr>
      <w:bookmarkStart w:id="19" w:name="_GoBack"/>
      <w:r>
        <w:rPr>
          <w:rFonts w:hint="default" w:ascii="Times New Roman" w:hAnsi="Times New Roman" w:eastAsia="方正小标宋简体" w:cs="Times New Roman"/>
          <w:b w:val="0"/>
          <w:bCs w:val="0"/>
          <w:sz w:val="44"/>
          <w:szCs w:val="44"/>
        </w:rPr>
        <w:t>2021年</w:t>
      </w:r>
      <w:r>
        <w:rPr>
          <w:rFonts w:hint="default" w:ascii="Times New Roman" w:hAnsi="Times New Roman" w:eastAsia="方正小标宋简体" w:cs="Times New Roman"/>
          <w:b w:val="0"/>
          <w:bCs w:val="0"/>
          <w:sz w:val="44"/>
          <w:szCs w:val="44"/>
          <w:lang w:eastAsia="zh-CN"/>
        </w:rPr>
        <w:t>全国</w:t>
      </w:r>
      <w:r>
        <w:rPr>
          <w:rFonts w:hint="default" w:ascii="Times New Roman" w:hAnsi="Times New Roman" w:eastAsia="方正小标宋简体" w:cs="Times New Roman"/>
          <w:b w:val="0"/>
          <w:bCs w:val="0"/>
          <w:sz w:val="44"/>
          <w:szCs w:val="44"/>
        </w:rPr>
        <w:t>医疗服务价格和成本监测</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lang w:eastAsia="zh-CN"/>
        </w:rPr>
        <w:t>绩效评价</w:t>
      </w:r>
      <w:r>
        <w:rPr>
          <w:rFonts w:hint="default" w:ascii="Times New Roman" w:hAnsi="Times New Roman" w:eastAsia="方正小标宋简体" w:cs="Times New Roman"/>
          <w:b w:val="0"/>
          <w:bCs w:val="0"/>
          <w:sz w:val="44"/>
          <w:szCs w:val="44"/>
        </w:rPr>
        <w:t>报告</w:t>
      </w:r>
    </w:p>
    <w:bookmarkEnd w:id="19"/>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color w:val="auto"/>
          <w:sz w:val="32"/>
          <w:szCs w:val="32"/>
          <w:highlight w:val="none"/>
        </w:rPr>
        <w:t>根据《国家卫生健康委财务司关于请提供202</w:t>
      </w:r>
      <w:r>
        <w:rPr>
          <w:rFonts w:hint="default" w:ascii="Times New Roman" w:hAnsi="Times New Roman" w:eastAsia="仿宋_GB2312" w:cs="Times New Roman"/>
          <w:color w:val="auto"/>
          <w:sz w:val="32"/>
          <w:szCs w:val="32"/>
          <w:highlight w:val="none"/>
          <w:lang w:val="en-US" w:eastAsia="zh-CN"/>
        </w:rPr>
        <w:t>1</w:t>
      </w:r>
      <w:r>
        <w:rPr>
          <w:rFonts w:hint="default" w:ascii="Times New Roman" w:hAnsi="Times New Roman" w:eastAsia="仿宋_GB2312" w:cs="Times New Roman"/>
          <w:color w:val="auto"/>
          <w:sz w:val="32"/>
          <w:szCs w:val="32"/>
          <w:highlight w:val="none"/>
        </w:rPr>
        <w:t>年度中央对地方卫生健康转移支付部分项目绩效报告的通知》要求，我</w:t>
      </w:r>
      <w:r>
        <w:rPr>
          <w:rFonts w:hint="default" w:ascii="Times New Roman" w:hAnsi="Times New Roman" w:eastAsia="仿宋_GB2312" w:cs="Times New Roman"/>
          <w:color w:val="auto"/>
          <w:sz w:val="32"/>
          <w:szCs w:val="32"/>
          <w:highlight w:val="none"/>
          <w:lang w:eastAsia="zh-CN"/>
        </w:rPr>
        <w:t>省</w:t>
      </w:r>
      <w:r>
        <w:rPr>
          <w:rFonts w:hint="default" w:ascii="Times New Roman" w:hAnsi="Times New Roman" w:eastAsia="仿宋_GB2312" w:cs="Times New Roman"/>
          <w:color w:val="auto"/>
          <w:sz w:val="32"/>
          <w:szCs w:val="32"/>
          <w:highlight w:val="none"/>
        </w:rPr>
        <w:t>认真组织开展20</w:t>
      </w:r>
      <w:r>
        <w:rPr>
          <w:rFonts w:hint="default" w:ascii="Times New Roman" w:hAnsi="Times New Roman" w:eastAsia="仿宋_GB2312" w:cs="Times New Roman"/>
          <w:color w:val="auto"/>
          <w:sz w:val="32"/>
          <w:szCs w:val="32"/>
          <w:highlight w:val="none"/>
          <w:lang w:val="en-US" w:eastAsia="zh-CN"/>
        </w:rPr>
        <w:t>21</w:t>
      </w:r>
      <w:r>
        <w:rPr>
          <w:rFonts w:hint="default" w:ascii="Times New Roman" w:hAnsi="Times New Roman" w:eastAsia="仿宋_GB2312" w:cs="Times New Roman"/>
          <w:color w:val="auto"/>
          <w:sz w:val="32"/>
          <w:szCs w:val="32"/>
          <w:highlight w:val="none"/>
        </w:rPr>
        <w:t>年度</w:t>
      </w:r>
      <w:r>
        <w:rPr>
          <w:rFonts w:hint="default" w:ascii="Times New Roman" w:hAnsi="Times New Roman" w:eastAsia="仿宋_GB2312" w:cs="Times New Roman"/>
          <w:color w:val="auto"/>
          <w:sz w:val="32"/>
          <w:szCs w:val="32"/>
          <w:highlight w:val="none"/>
          <w:lang w:eastAsia="zh-CN"/>
        </w:rPr>
        <w:t>全国</w:t>
      </w:r>
      <w:r>
        <w:rPr>
          <w:rFonts w:hint="default" w:ascii="Times New Roman" w:hAnsi="Times New Roman" w:eastAsia="仿宋_GB2312" w:cs="Times New Roman"/>
          <w:color w:val="auto"/>
          <w:sz w:val="32"/>
          <w:szCs w:val="32"/>
          <w:highlight w:val="none"/>
        </w:rPr>
        <w:t>医疗服务价格和成本监测</w:t>
      </w:r>
      <w:r>
        <w:rPr>
          <w:rFonts w:hint="default" w:ascii="Times New Roman" w:hAnsi="Times New Roman" w:eastAsia="仿宋_GB2312" w:cs="Times New Roman"/>
          <w:color w:val="auto"/>
          <w:sz w:val="32"/>
          <w:szCs w:val="32"/>
          <w:highlight w:val="none"/>
          <w:lang w:eastAsia="zh-CN"/>
        </w:rPr>
        <w:t>项目</w:t>
      </w:r>
      <w:r>
        <w:rPr>
          <w:rFonts w:hint="default" w:ascii="Times New Roman" w:hAnsi="Times New Roman" w:eastAsia="仿宋_GB2312" w:cs="Times New Roman"/>
          <w:color w:val="auto"/>
          <w:sz w:val="32"/>
          <w:szCs w:val="32"/>
          <w:highlight w:val="none"/>
        </w:rPr>
        <w:t>绩效评价工作</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现将有关情况报告如下：</w:t>
      </w:r>
    </w:p>
    <w:p>
      <w:pPr>
        <w:pStyle w:val="3"/>
        <w:pageBreakBefore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eastAsia" w:ascii="黑体" w:hAnsi="黑体" w:eastAsia="黑体" w:cs="黑体"/>
          <w:b w:val="0"/>
          <w:bCs/>
          <w:sz w:val="32"/>
          <w:szCs w:val="32"/>
        </w:rPr>
      </w:pPr>
      <w:bookmarkStart w:id="0" w:name="_Toc10551"/>
      <w:r>
        <w:rPr>
          <w:rFonts w:hint="eastAsia" w:ascii="黑体" w:hAnsi="黑体" w:eastAsia="黑体" w:cs="黑体"/>
          <w:b w:val="0"/>
          <w:bCs/>
          <w:sz w:val="32"/>
          <w:szCs w:val="32"/>
        </w:rPr>
        <w:t>一、项目基本情况</w:t>
      </w:r>
      <w:bookmarkEnd w:id="0"/>
    </w:p>
    <w:p>
      <w:pPr>
        <w:pStyle w:val="4"/>
        <w:pageBreakBefore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b w:val="0"/>
          <w:bCs/>
          <w:sz w:val="32"/>
          <w:szCs w:val="32"/>
          <w:lang w:eastAsia="zh-CN"/>
        </w:rPr>
      </w:pPr>
      <w:bookmarkStart w:id="1" w:name="_Toc9647"/>
      <w:r>
        <w:rPr>
          <w:rFonts w:hint="default" w:ascii="Times New Roman" w:hAnsi="Times New Roman" w:eastAsia="楷体_GB2312" w:cs="Times New Roman"/>
          <w:b w:val="0"/>
          <w:bCs/>
          <w:sz w:val="32"/>
          <w:szCs w:val="32"/>
        </w:rPr>
        <w:t>（一）项目概况</w:t>
      </w:r>
      <w:bookmarkEnd w:id="1"/>
      <w:r>
        <w:rPr>
          <w:rFonts w:hint="default" w:ascii="Times New Roman" w:hAnsi="Times New Roman" w:eastAsia="楷体_GB2312" w:cs="Times New Roman"/>
          <w:b w:val="0"/>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随着医改的不断深化，建立以成本为依据的支付方式改革越发需要一套全国统一、真实有效的医疗信息系统的支撑与保障。全国医疗服务价格和成本监测</w:t>
      </w:r>
      <w:r>
        <w:rPr>
          <w:rFonts w:hint="default" w:ascii="Times New Roman" w:hAnsi="Times New Roman" w:eastAsia="仿宋_GB2312" w:cs="Times New Roman"/>
          <w:sz w:val="32"/>
          <w:szCs w:val="32"/>
          <w:lang w:val="en-US" w:eastAsia="zh-CN"/>
        </w:rPr>
        <w:t>工作是推进医疗服务价格改革的基础性工作，</w:t>
      </w:r>
      <w:r>
        <w:rPr>
          <w:rFonts w:hint="default" w:ascii="Times New Roman" w:hAnsi="Times New Roman" w:eastAsia="仿宋_GB2312" w:cs="Times New Roman"/>
          <w:sz w:val="32"/>
          <w:szCs w:val="32"/>
        </w:rPr>
        <w:t>研究网络自2014年3月正式开始运行，是专门研究医疗服务价格和医疗机构补偿机制相关政策的政府工作网络，自2017年7月，国家开通省级上报备案平台，建立全国改革信息的互联互通体系。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2021年根据《国家卫生健康委财务司 国家中医药管理局规划财务司关于做好2021年医疗服务价格和成本监测数据填报工作的通知》（国卫财务经便函〔2021〕36号）的要求，我委自3月开始组织开展监测单位2021年全国医疗服务价格和成本监测培训和数据填报工作，健全我省监测队伍，顺利完成了各项工作任务。</w:t>
      </w:r>
    </w:p>
    <w:p>
      <w:pPr>
        <w:pStyle w:val="4"/>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b w:val="0"/>
          <w:bCs/>
          <w:sz w:val="32"/>
          <w:szCs w:val="32"/>
        </w:rPr>
      </w:pPr>
      <w:bookmarkStart w:id="2" w:name="_Toc7889"/>
      <w:r>
        <w:rPr>
          <w:rFonts w:hint="default" w:ascii="Times New Roman" w:hAnsi="Times New Roman" w:eastAsia="楷体_GB2312" w:cs="Times New Roman"/>
          <w:b w:val="0"/>
          <w:bCs/>
          <w:sz w:val="32"/>
          <w:szCs w:val="32"/>
          <w:lang w:eastAsia="zh-CN"/>
        </w:rPr>
        <w:t>（二）</w:t>
      </w:r>
      <w:r>
        <w:rPr>
          <w:rFonts w:hint="default" w:ascii="Times New Roman" w:hAnsi="Times New Roman" w:eastAsia="楷体_GB2312" w:cs="Times New Roman"/>
          <w:b w:val="0"/>
          <w:bCs/>
          <w:sz w:val="32"/>
          <w:szCs w:val="32"/>
        </w:rPr>
        <w:t>项目绩效目标情况</w:t>
      </w:r>
      <w:bookmarkEnd w:id="2"/>
      <w:r>
        <w:rPr>
          <w:rFonts w:hint="default" w:ascii="Times New Roman" w:hAnsi="Times New Roman" w:eastAsia="楷体_GB2312" w:cs="Times New Roman"/>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.资</w:t>
      </w:r>
      <w:r>
        <w:rPr>
          <w:rFonts w:hint="default" w:ascii="Times New Roman" w:hAnsi="Times New Roman" w:eastAsia="仿宋_GB2312" w:cs="Times New Roman"/>
          <w:b/>
          <w:bCs/>
          <w:sz w:val="32"/>
          <w:szCs w:val="32"/>
          <w:lang w:val="en-US" w:eastAsia="zh-CN"/>
        </w:rPr>
        <w:t>金到位、执行情况。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2021年，《广东省财政厅关于提前下达2021年中央财政基本公共卫生服务等3项补助资金的通知》（粤财社〔2020〕307号）《广东省财政厅关于安排下达2021年第二批中央财政补助基本公共卫生服务等6项资金的通知》（粤财社〔2021〕103号），下达2021年度重大疾病与危害因素监测中“全国医疗服务价格和成本监测”项目91万元，专项用于全国医疗服务价格和成本监测工作，主要内容包括能力建设、数据上报等。</w:t>
      </w:r>
      <w:r>
        <w:rPr>
          <w:rFonts w:hint="default" w:ascii="Times New Roman" w:hAnsi="Times New Roman" w:eastAsia="仿宋_GB2312" w:cs="Times New Roman"/>
          <w:color w:val="auto"/>
          <w:kern w:val="0"/>
          <w:sz w:val="32"/>
          <w:szCs w:val="32"/>
          <w:highlight w:val="none"/>
          <w:lang w:val="en-US" w:eastAsia="zh-CN" w:bidi="ar"/>
        </w:rPr>
        <w:t>截至2021年12月31日，专项资金支出91.00万元</w:t>
      </w:r>
      <w:r>
        <w:rPr>
          <w:rFonts w:hint="default" w:ascii="Times New Roman" w:hAnsi="Times New Roman" w:eastAsia="仿宋_GB2312" w:cs="Times New Roman"/>
          <w:sz w:val="32"/>
          <w:szCs w:val="32"/>
          <w:u w:val="none"/>
          <w:lang w:val="en-US" w:eastAsia="zh-CN"/>
        </w:rPr>
        <w:t>，资金执行率为100%，</w:t>
      </w:r>
    </w:p>
    <w:p>
      <w:pPr>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w:t>
      </w:r>
      <w:r>
        <w:rPr>
          <w:rFonts w:hint="default" w:ascii="仿宋_GB2312" w:hAnsi="仿宋_GB2312" w:eastAsia="仿宋_GB2312" w:cs="仿宋_GB2312"/>
          <w:b/>
          <w:bCs/>
          <w:sz w:val="32"/>
          <w:szCs w:val="32"/>
          <w:lang w:val="en-US" w:eastAsia="zh-CN"/>
        </w:rPr>
        <w:t>.绩</w:t>
      </w:r>
      <w:r>
        <w:rPr>
          <w:rFonts w:hint="default" w:ascii="Times New Roman" w:hAnsi="Times New Roman" w:eastAsia="仿宋_GB2312" w:cs="Times New Roman"/>
          <w:b/>
          <w:bCs/>
          <w:sz w:val="32"/>
          <w:szCs w:val="32"/>
          <w:lang w:val="en-US" w:eastAsia="zh-CN"/>
        </w:rPr>
        <w:t>效目标情况。</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（1）总体目标。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提高监测网络成员单位的上报数据质量，培养监测网络、医疗成本与价格相关研究人才，提高监测网络上报工作人员的业务能力。</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（2）具体指标。</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①年度开展监测单位：任务数99个。</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②能力建设：对监测网络成员单位至少需要开展1次监测网络工作培训，提高监测网络上报工作人员业务能力。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③每年进行一次数据上报，并对监测分析报告框架指标等提出意见建议。</w:t>
      </w:r>
    </w:p>
    <w:p>
      <w:pPr>
        <w:pStyle w:val="3"/>
        <w:pageBreakBefore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黑体" w:hAnsi="黑体" w:eastAsia="黑体" w:cs="黑体"/>
          <w:b w:val="0"/>
          <w:bCs/>
          <w:sz w:val="32"/>
          <w:szCs w:val="32"/>
        </w:rPr>
      </w:pPr>
      <w:bookmarkStart w:id="3" w:name="_Toc16064"/>
      <w:r>
        <w:rPr>
          <w:rFonts w:hint="default" w:ascii="黑体" w:hAnsi="黑体" w:eastAsia="黑体" w:cs="黑体"/>
          <w:b w:val="0"/>
          <w:bCs/>
          <w:sz w:val="32"/>
          <w:szCs w:val="32"/>
        </w:rPr>
        <w:t>二、项目实施及管理情况</w:t>
      </w:r>
      <w:bookmarkEnd w:id="3"/>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lang w:eastAsia="zh-CN"/>
        </w:rPr>
      </w:pPr>
      <w:bookmarkStart w:id="4" w:name="_Toc30754"/>
      <w:r>
        <w:rPr>
          <w:rFonts w:hint="default" w:ascii="Times New Roman" w:hAnsi="Times New Roman" w:eastAsia="楷体_GB2312" w:cs="Times New Roman"/>
          <w:b w:val="0"/>
          <w:bCs w:val="0"/>
          <w:sz w:val="32"/>
          <w:szCs w:val="32"/>
          <w:lang w:eastAsia="zh-CN"/>
        </w:rPr>
        <w:t>（</w:t>
      </w:r>
      <w:r>
        <w:rPr>
          <w:rFonts w:hint="default" w:ascii="Times New Roman" w:hAnsi="Times New Roman" w:eastAsia="楷体_GB2312" w:cs="Times New Roman"/>
          <w:b w:val="0"/>
          <w:bCs w:val="0"/>
          <w:sz w:val="32"/>
          <w:szCs w:val="32"/>
          <w:lang w:val="en-US" w:eastAsia="zh-CN"/>
        </w:rPr>
        <w:t>一</w:t>
      </w:r>
      <w:r>
        <w:rPr>
          <w:rFonts w:hint="default" w:ascii="Times New Roman" w:hAnsi="Times New Roman" w:eastAsia="楷体_GB2312" w:cs="Times New Roman"/>
          <w:b w:val="0"/>
          <w:bCs w:val="0"/>
          <w:sz w:val="32"/>
          <w:szCs w:val="32"/>
          <w:lang w:eastAsia="zh-CN"/>
        </w:rPr>
        <w:t>）实施情况</w:t>
      </w:r>
      <w:bookmarkEnd w:id="4"/>
      <w:r>
        <w:rPr>
          <w:rFonts w:hint="default"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我委高度重视全国医疗服务价格和成本监测数据填报工作，在年度工作计划中，将此项任务纳入年度重点工作推进。</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lang w:eastAsia="zh-CN"/>
        </w:rPr>
      </w:pPr>
      <w:bookmarkStart w:id="5" w:name="_Toc3801"/>
      <w:r>
        <w:rPr>
          <w:rFonts w:hint="default" w:ascii="Times New Roman" w:hAnsi="Times New Roman" w:eastAsia="楷体_GB2312" w:cs="Times New Roman"/>
          <w:b w:val="0"/>
          <w:bCs w:val="0"/>
          <w:sz w:val="32"/>
          <w:szCs w:val="32"/>
          <w:lang w:eastAsia="zh-CN"/>
        </w:rPr>
        <w:t>（二）管理情况</w:t>
      </w:r>
      <w:bookmarkEnd w:id="5"/>
      <w:r>
        <w:rPr>
          <w:rFonts w:hint="default" w:ascii="Times New Roman" w:hAnsi="Times New Roman" w:eastAsia="楷体_GB2312" w:cs="Times New Roman"/>
          <w:b w:val="0"/>
          <w:bCs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lang w:eastAsia="zh-CN"/>
        </w:rPr>
        <w:t>1</w:t>
      </w:r>
      <w:r>
        <w:rPr>
          <w:rFonts w:hint="eastAsia" w:ascii="仿宋_GB2312" w:hAnsi="仿宋_GB2312" w:eastAsia="仿宋_GB2312" w:cs="仿宋_GB2312"/>
          <w:b/>
          <w:bCs/>
          <w:sz w:val="32"/>
          <w:szCs w:val="32"/>
          <w:lang w:eastAsia="zh-CN"/>
        </w:rPr>
        <w:t>.</w:t>
      </w:r>
      <w:r>
        <w:rPr>
          <w:rFonts w:hint="default" w:ascii="Times New Roman" w:hAnsi="Times New Roman" w:eastAsia="仿宋_GB2312" w:cs="Times New Roman"/>
          <w:b/>
          <w:bCs/>
          <w:sz w:val="32"/>
          <w:szCs w:val="32"/>
          <w:lang w:eastAsia="zh-CN"/>
        </w:rPr>
        <w:t>及时部署数据填报工作。</w:t>
      </w:r>
      <w:r>
        <w:rPr>
          <w:rFonts w:hint="default" w:ascii="Times New Roman" w:hAnsi="Times New Roman" w:eastAsia="仿宋_GB2312" w:cs="Times New Roman"/>
          <w:b w:val="0"/>
          <w:bCs w:val="0"/>
          <w:sz w:val="32"/>
          <w:szCs w:val="32"/>
          <w:lang w:eastAsia="zh-CN"/>
        </w:rPr>
        <w:t>根据</w:t>
      </w:r>
      <w:r>
        <w:rPr>
          <w:rFonts w:hint="default" w:ascii="Times New Roman" w:hAnsi="Times New Roman" w:eastAsia="仿宋_GB2312" w:cs="Times New Roman"/>
          <w:sz w:val="32"/>
          <w:szCs w:val="32"/>
          <w:lang w:val="en-US" w:eastAsia="zh-CN"/>
        </w:rPr>
        <w:t>《国家卫生健康委财务司 国家中医药管理局规划财务司关于做好2021年医疗服务价格和成本监测数据填报工作的通知》（国卫财务经便函〔2021〕36号）</w:t>
      </w:r>
      <w:r>
        <w:rPr>
          <w:rFonts w:hint="default" w:ascii="Times New Roman" w:hAnsi="Times New Roman" w:eastAsia="仿宋_GB2312" w:cs="Times New Roman"/>
          <w:b w:val="0"/>
          <w:bCs w:val="0"/>
          <w:sz w:val="32"/>
          <w:szCs w:val="32"/>
          <w:lang w:eastAsia="zh-CN"/>
        </w:rPr>
        <w:t>，我委及时印发《广东省卫生健康委办公室关于做好20</w:t>
      </w:r>
      <w:r>
        <w:rPr>
          <w:rFonts w:hint="default" w:ascii="Times New Roman" w:hAnsi="Times New Roman" w:eastAsia="仿宋_GB2312" w:cs="Times New Roman"/>
          <w:b w:val="0"/>
          <w:bCs w:val="0"/>
          <w:sz w:val="32"/>
          <w:szCs w:val="32"/>
          <w:lang w:val="en-US" w:eastAsia="zh-CN"/>
        </w:rPr>
        <w:t>21</w:t>
      </w:r>
      <w:r>
        <w:rPr>
          <w:rFonts w:hint="default" w:ascii="Times New Roman" w:hAnsi="Times New Roman" w:eastAsia="仿宋_GB2312" w:cs="Times New Roman"/>
          <w:b w:val="0"/>
          <w:bCs w:val="0"/>
          <w:sz w:val="32"/>
          <w:szCs w:val="32"/>
          <w:lang w:eastAsia="zh-CN"/>
        </w:rPr>
        <w:t>年医疗服务价格和成本监测数据填报工作的通知》，明确了填报单位、填报方式、填报内容及截止时间等要求。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bCs/>
          <w:sz w:val="32"/>
          <w:szCs w:val="32"/>
          <w:lang w:eastAsia="zh-CN"/>
        </w:rPr>
        <w:t>2</w:t>
      </w:r>
      <w:r>
        <w:rPr>
          <w:rFonts w:hint="default" w:ascii="仿宋_GB2312" w:hAnsi="仿宋_GB2312" w:eastAsia="仿宋_GB2312" w:cs="仿宋_GB2312"/>
          <w:b/>
          <w:bCs/>
          <w:sz w:val="32"/>
          <w:szCs w:val="32"/>
          <w:lang w:eastAsia="zh-CN"/>
        </w:rPr>
        <w:t>.</w:t>
      </w:r>
      <w:r>
        <w:rPr>
          <w:rFonts w:hint="default" w:ascii="Times New Roman" w:hAnsi="Times New Roman" w:eastAsia="仿宋_GB2312" w:cs="Times New Roman"/>
          <w:b/>
          <w:bCs/>
          <w:sz w:val="32"/>
          <w:szCs w:val="32"/>
          <w:lang w:eastAsia="zh-CN"/>
        </w:rPr>
        <w:t>委托第三方管理。</w:t>
      </w:r>
      <w:r>
        <w:rPr>
          <w:rFonts w:hint="default" w:ascii="Times New Roman" w:hAnsi="Times New Roman" w:eastAsia="仿宋_GB2312" w:cs="Times New Roman"/>
          <w:b w:val="0"/>
          <w:bCs w:val="0"/>
          <w:sz w:val="32"/>
          <w:szCs w:val="32"/>
          <w:lang w:eastAsia="zh-CN"/>
        </w:rPr>
        <w:t>委托南方医科大学卫生与健康管理研究院作为我省医疗机构经济运行质量监测机构，将价格和成本监测数据填报作为一项重要任务，要求专人配合组织落实相关工作，并给予一定经费保障。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3</w:t>
      </w:r>
      <w:r>
        <w:rPr>
          <w:rFonts w:hint="default" w:ascii="仿宋_GB2312" w:hAnsi="仿宋_GB2312" w:eastAsia="仿宋_GB2312" w:cs="仿宋_GB2312"/>
          <w:b/>
          <w:bCs/>
          <w:sz w:val="32"/>
          <w:szCs w:val="32"/>
          <w:lang w:val="en-US" w:eastAsia="zh-CN"/>
        </w:rPr>
        <w:t>.组</w:t>
      </w:r>
      <w:r>
        <w:rPr>
          <w:rFonts w:hint="default" w:ascii="Times New Roman" w:hAnsi="Times New Roman" w:eastAsia="仿宋_GB2312" w:cs="Times New Roman"/>
          <w:b/>
          <w:bCs/>
          <w:sz w:val="32"/>
          <w:szCs w:val="32"/>
          <w:lang w:val="en-US" w:eastAsia="zh-CN"/>
        </w:rPr>
        <w:t>织培训及审核工作。</w:t>
      </w:r>
      <w:r>
        <w:rPr>
          <w:rFonts w:hint="default" w:ascii="Times New Roman" w:hAnsi="Times New Roman" w:eastAsia="仿宋_GB2312" w:cs="Times New Roman"/>
          <w:b w:val="0"/>
          <w:bCs w:val="0"/>
          <w:sz w:val="32"/>
          <w:szCs w:val="32"/>
          <w:lang w:val="en-US" w:eastAsia="zh-CN"/>
        </w:rPr>
        <w:t>为做好我省2021年全国医疗服务价格和成本监测数据上报工作，我委制定了网络成员单位培训计划，下发了《广东省卫生健康委办公室关于举办2021年医疗服务价格和成本监测培训班的通知》，组织网络成员单位参加培训，提高成员单位的政策、研究和实施水平。还组织省级师资及专家进行培训授课和参加线上平台数据审核工作，并根据国家要求，按时完成广东省监测单位数据审核工作。</w:t>
      </w:r>
    </w:p>
    <w:p>
      <w:pPr>
        <w:pStyle w:val="3"/>
        <w:pageBreakBefore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黑体" w:hAnsi="黑体" w:eastAsia="黑体" w:cs="黑体"/>
          <w:b w:val="0"/>
          <w:bCs/>
          <w:sz w:val="32"/>
          <w:szCs w:val="32"/>
        </w:rPr>
      </w:pPr>
      <w:bookmarkStart w:id="6" w:name="_Toc5838"/>
      <w:r>
        <w:rPr>
          <w:rFonts w:hint="default" w:ascii="黑体" w:hAnsi="黑体" w:eastAsia="黑体" w:cs="黑体"/>
          <w:b w:val="0"/>
          <w:bCs/>
          <w:sz w:val="32"/>
          <w:szCs w:val="32"/>
          <w:lang w:eastAsia="zh-CN"/>
        </w:rPr>
        <w:t>三、</w:t>
      </w:r>
      <w:r>
        <w:rPr>
          <w:rFonts w:hint="default" w:ascii="黑体" w:hAnsi="黑体" w:eastAsia="黑体" w:cs="黑体"/>
          <w:b w:val="0"/>
          <w:bCs/>
          <w:sz w:val="32"/>
          <w:szCs w:val="32"/>
        </w:rPr>
        <w:t>项目绩效自评开展情况</w:t>
      </w:r>
      <w:bookmarkEnd w:id="6"/>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经对自评材料审核及现场核查发现，各监测单位基本按照国家医疗服务价格监测工作要求，依据绩效目标将监测工作分解成具体工作任务，并完成监测工作任务，有关绩效目标和工作任务体现预算编制的合理性及规范性，实现了预期效益。但也存在预算执行有效性需进一步加强改进的问题，需进一步提高预算执行效率。</w:t>
      </w:r>
    </w:p>
    <w:p>
      <w:pPr>
        <w:pStyle w:val="3"/>
        <w:pageBreakBefore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黑体" w:hAnsi="黑体" w:eastAsia="黑体" w:cs="黑体"/>
          <w:b w:val="0"/>
          <w:bCs/>
          <w:sz w:val="32"/>
          <w:szCs w:val="32"/>
        </w:rPr>
      </w:pPr>
      <w:bookmarkStart w:id="7" w:name="_Toc7320"/>
      <w:r>
        <w:rPr>
          <w:rFonts w:hint="default" w:ascii="黑体" w:hAnsi="黑体" w:eastAsia="黑体" w:cs="黑体"/>
          <w:b w:val="0"/>
          <w:bCs/>
          <w:sz w:val="32"/>
          <w:szCs w:val="32"/>
          <w:lang w:eastAsia="zh-CN"/>
        </w:rPr>
        <w:t>四、</w:t>
      </w:r>
      <w:r>
        <w:rPr>
          <w:rFonts w:hint="default" w:ascii="黑体" w:hAnsi="黑体" w:eastAsia="黑体" w:cs="黑体"/>
          <w:b w:val="0"/>
          <w:bCs/>
          <w:sz w:val="32"/>
          <w:szCs w:val="32"/>
        </w:rPr>
        <w:t>项目完成情况分析</w:t>
      </w:r>
      <w:bookmarkEnd w:id="7"/>
    </w:p>
    <w:p>
      <w:pPr>
        <w:pStyle w:val="4"/>
        <w:pageBreakBefore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b w:val="0"/>
          <w:bCs/>
          <w:sz w:val="32"/>
          <w:szCs w:val="32"/>
        </w:rPr>
      </w:pPr>
      <w:bookmarkStart w:id="8" w:name="_Toc27759"/>
      <w:r>
        <w:rPr>
          <w:rFonts w:hint="default" w:ascii="Times New Roman" w:hAnsi="Times New Roman" w:eastAsia="楷体_GB2312" w:cs="Times New Roman"/>
          <w:b w:val="0"/>
          <w:bCs/>
          <w:sz w:val="32"/>
          <w:szCs w:val="32"/>
          <w:lang w:eastAsia="zh-CN"/>
        </w:rPr>
        <w:t>（一）</w:t>
      </w:r>
      <w:r>
        <w:rPr>
          <w:rFonts w:hint="default" w:ascii="Times New Roman" w:hAnsi="Times New Roman" w:eastAsia="楷体_GB2312" w:cs="Times New Roman"/>
          <w:b w:val="0"/>
          <w:bCs/>
          <w:sz w:val="32"/>
          <w:szCs w:val="32"/>
        </w:rPr>
        <w:t>产出分析</w:t>
      </w:r>
      <w:bookmarkEnd w:id="8"/>
      <w:r>
        <w:rPr>
          <w:rFonts w:hint="default" w:ascii="Times New Roman" w:hAnsi="Times New Roman" w:eastAsia="楷体_GB2312" w:cs="Times New Roman"/>
          <w:b w:val="0"/>
          <w:bCs/>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.年</w:t>
      </w:r>
      <w:r>
        <w:rPr>
          <w:rFonts w:hint="default" w:ascii="Times New Roman" w:hAnsi="Times New Roman" w:eastAsia="仿宋_GB2312" w:cs="Times New Roman"/>
          <w:b/>
          <w:bCs/>
          <w:sz w:val="32"/>
          <w:szCs w:val="32"/>
          <w:lang w:val="en-US" w:eastAsia="zh-CN"/>
        </w:rPr>
        <w:t>度开展监测单位。</w:t>
      </w:r>
      <w:r>
        <w:rPr>
          <w:rFonts w:hint="default" w:ascii="Times New Roman" w:hAnsi="Times New Roman" w:eastAsia="仿宋_GB2312" w:cs="Times New Roman"/>
          <w:sz w:val="32"/>
          <w:szCs w:val="32"/>
          <w:lang w:val="en-US" w:eastAsia="zh-CN"/>
        </w:rPr>
        <w:t>2021年，全省年度开展监测单位任务数99家，实际开展监测单位99家，实现预期目标。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pacing w:val="0"/>
          <w:position w:val="0"/>
          <w:sz w:val="32"/>
          <w:szCs w:val="32"/>
          <w:shd w:val="clear" w:color="auto" w:fill="auto"/>
          <w:lang w:val="en-US" w:eastAsia="zh-CN"/>
        </w:rPr>
      </w:pPr>
      <w:r>
        <w:rPr>
          <w:rFonts w:hint="default" w:ascii="Times New Roman" w:hAnsi="Times New Roman" w:eastAsia="仿宋_GB2312" w:cs="Times New Roman"/>
          <w:b/>
          <w:bCs/>
          <w:sz w:val="32"/>
          <w:szCs w:val="32"/>
          <w:lang w:val="en-US" w:eastAsia="zh-CN"/>
        </w:rPr>
        <w:t>2</w:t>
      </w:r>
      <w:r>
        <w:rPr>
          <w:rFonts w:hint="default" w:ascii="仿宋_GB2312" w:hAnsi="仿宋_GB2312" w:eastAsia="仿宋_GB2312" w:cs="仿宋_GB2312"/>
          <w:b/>
          <w:bCs/>
          <w:sz w:val="32"/>
          <w:szCs w:val="32"/>
          <w:lang w:val="en-US" w:eastAsia="zh-CN"/>
        </w:rPr>
        <w:t>.能</w:t>
      </w:r>
      <w:r>
        <w:rPr>
          <w:rFonts w:hint="default" w:ascii="Times New Roman" w:hAnsi="Times New Roman" w:eastAsia="仿宋_GB2312" w:cs="Times New Roman"/>
          <w:b/>
          <w:bCs/>
          <w:sz w:val="32"/>
          <w:szCs w:val="32"/>
          <w:lang w:val="en-US" w:eastAsia="zh-CN"/>
        </w:rPr>
        <w:t>力建设完成情况。</w:t>
      </w:r>
      <w:r>
        <w:rPr>
          <w:rFonts w:hint="default" w:ascii="Times New Roman" w:hAnsi="Times New Roman" w:eastAsia="仿宋_GB2312" w:cs="Times New Roman"/>
          <w:sz w:val="32"/>
          <w:szCs w:val="32"/>
          <w:lang w:val="en-US" w:eastAsia="zh-CN"/>
        </w:rPr>
        <w:t>2021年举办了广东省医疗服务价格和成本监测培训，培训对象为</w:t>
      </w:r>
      <w:r>
        <w:rPr>
          <w:rFonts w:hint="default" w:ascii="Times New Roman" w:hAnsi="Times New Roman" w:eastAsia="仿宋_GB2312" w:cs="Times New Roman"/>
          <w:color w:val="auto"/>
          <w:sz w:val="32"/>
          <w:szCs w:val="32"/>
          <w:lang w:val="en-US" w:eastAsia="zh-CN"/>
        </w:rPr>
        <w:t>各地市卫生健康局（委）负责医疗服务价格工作的同志，以及全省99家监测网络单位成员，近250人参加了培训，并</w:t>
      </w:r>
      <w:r>
        <w:rPr>
          <w:rFonts w:hint="default" w:ascii="Times New Roman" w:hAnsi="Times New Roman" w:eastAsia="仿宋_GB2312" w:cs="Times New Roman"/>
          <w:sz w:val="32"/>
          <w:szCs w:val="32"/>
          <w:lang w:val="en-US" w:eastAsia="zh-CN"/>
        </w:rPr>
        <w:t>建立工作群进行线上指导各监测单位数据填报，按照国家要求的统计口径，准确、及时地上报监测信息，保证填报质量，</w:t>
      </w:r>
      <w:r>
        <w:rPr>
          <w:rFonts w:hint="default" w:ascii="Times New Roman" w:hAnsi="Times New Roman" w:eastAsia="仿宋_GB2312" w:cs="Times New Roman"/>
          <w:b w:val="0"/>
          <w:bCs w:val="0"/>
          <w:color w:val="auto"/>
          <w:spacing w:val="0"/>
          <w:position w:val="0"/>
          <w:sz w:val="32"/>
          <w:szCs w:val="32"/>
          <w:shd w:val="clear" w:color="auto" w:fill="auto"/>
          <w:lang w:val="en-US" w:eastAsia="zh-CN"/>
        </w:rPr>
        <w:t>有效提升</w:t>
      </w:r>
      <w:r>
        <w:rPr>
          <w:rFonts w:hint="default" w:ascii="Times New Roman" w:hAnsi="Times New Roman" w:eastAsia="仿宋_GB2312" w:cs="Times New Roman"/>
          <w:b w:val="0"/>
          <w:bCs w:val="0"/>
          <w:sz w:val="32"/>
          <w:szCs w:val="32"/>
          <w:lang w:val="en-US" w:eastAsia="zh-CN"/>
        </w:rPr>
        <w:t>全省</w:t>
      </w:r>
      <w:r>
        <w:rPr>
          <w:rFonts w:hint="default" w:ascii="Times New Roman" w:hAnsi="Times New Roman" w:eastAsia="仿宋_GB2312" w:cs="Times New Roman"/>
          <w:b w:val="0"/>
          <w:bCs w:val="0"/>
          <w:color w:val="000000"/>
          <w:kern w:val="0"/>
          <w:sz w:val="32"/>
          <w:szCs w:val="32"/>
          <w:lang w:val="en-US" w:eastAsia="zh-CN" w:bidi="ar"/>
        </w:rPr>
        <w:t>医疗服务价格和成本监测</w:t>
      </w:r>
      <w:r>
        <w:rPr>
          <w:rFonts w:hint="default" w:ascii="Times New Roman" w:hAnsi="Times New Roman" w:eastAsia="仿宋_GB2312" w:cs="Times New Roman"/>
          <w:b w:val="0"/>
          <w:bCs w:val="0"/>
          <w:sz w:val="32"/>
          <w:szCs w:val="32"/>
          <w:lang w:val="en-US" w:eastAsia="zh-CN"/>
        </w:rPr>
        <w:t>工作的水平，</w:t>
      </w:r>
      <w:r>
        <w:rPr>
          <w:rFonts w:hint="default" w:ascii="Times New Roman" w:hAnsi="Times New Roman" w:eastAsia="仿宋_GB2312" w:cs="Times New Roman"/>
          <w:b w:val="0"/>
          <w:bCs w:val="0"/>
          <w:color w:val="auto"/>
          <w:spacing w:val="0"/>
          <w:position w:val="0"/>
          <w:sz w:val="32"/>
          <w:szCs w:val="32"/>
          <w:shd w:val="clear" w:color="auto" w:fill="auto"/>
          <w:lang w:val="en-US" w:eastAsia="zh-CN"/>
        </w:rPr>
        <w:t>实现预期目标。</w:t>
      </w:r>
    </w:p>
    <w:p>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val="0"/>
          <w:bCs w:val="0"/>
          <w:color w:val="auto"/>
          <w:spacing w:val="0"/>
          <w:position w:val="0"/>
          <w:sz w:val="32"/>
          <w:szCs w:val="32"/>
          <w:shd w:val="clear" w:color="auto" w:fill="auto"/>
          <w:lang w:val="en-US" w:eastAsia="zh-CN"/>
        </w:rPr>
      </w:pPr>
      <w:r>
        <w:rPr>
          <w:rFonts w:hint="default" w:ascii="Times New Roman" w:hAnsi="Times New Roman" w:eastAsia="仿宋_GB2312" w:cs="Times New Roman"/>
          <w:b/>
          <w:bCs/>
          <w:color w:val="auto"/>
          <w:spacing w:val="0"/>
          <w:position w:val="0"/>
          <w:sz w:val="32"/>
          <w:szCs w:val="32"/>
          <w:shd w:val="clear" w:color="auto" w:fill="auto"/>
          <w:lang w:val="en-US" w:eastAsia="zh-CN"/>
        </w:rPr>
        <w:t>3</w:t>
      </w:r>
      <w:r>
        <w:rPr>
          <w:rFonts w:hint="default" w:ascii="仿宋_GB2312" w:hAnsi="仿宋_GB2312" w:eastAsia="仿宋_GB2312" w:cs="仿宋_GB2312"/>
          <w:b/>
          <w:bCs/>
          <w:sz w:val="32"/>
          <w:szCs w:val="32"/>
          <w:lang w:val="en-US" w:eastAsia="zh-CN"/>
        </w:rPr>
        <w:t>.数</w:t>
      </w:r>
      <w:r>
        <w:rPr>
          <w:rFonts w:hint="default" w:ascii="Times New Roman" w:hAnsi="Times New Roman" w:eastAsia="仿宋_GB2312" w:cs="Times New Roman"/>
          <w:b/>
          <w:bCs/>
          <w:color w:val="auto"/>
          <w:spacing w:val="0"/>
          <w:position w:val="0"/>
          <w:sz w:val="32"/>
          <w:szCs w:val="32"/>
          <w:shd w:val="clear" w:color="auto" w:fill="auto"/>
          <w:lang w:val="en-US" w:eastAsia="zh-CN"/>
        </w:rPr>
        <w:t>据审核与监控工作。</w:t>
      </w:r>
      <w:r>
        <w:rPr>
          <w:rFonts w:hint="default" w:ascii="Times New Roman" w:hAnsi="Times New Roman" w:eastAsia="仿宋_GB2312" w:cs="Times New Roman"/>
          <w:b w:val="0"/>
          <w:bCs w:val="0"/>
          <w:color w:val="auto"/>
          <w:spacing w:val="0"/>
          <w:position w:val="0"/>
          <w:sz w:val="32"/>
          <w:szCs w:val="32"/>
          <w:shd w:val="clear" w:color="auto" w:fill="auto"/>
          <w:lang w:val="en-US" w:eastAsia="zh-CN"/>
        </w:rPr>
        <w:t>组织省级师资及专家对我省监测网络单位填报的部分数据进行线上审核。审核了各监测医院“科室匹配表”和“医疗服务价格项目 匹配表”。重点监控了2021年未完成填报任务的地市和医院填报质量，三次发通知督促各监测医院及时、准确、完整地填报数据，据不完全统计，监测医院上传近700万条数据信息。</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pacing w:val="0"/>
          <w:position w:val="0"/>
          <w:sz w:val="32"/>
          <w:szCs w:val="32"/>
          <w:shd w:val="clear" w:color="auto" w:fill="auto"/>
          <w:lang w:val="en-US" w:eastAsia="zh-CN"/>
        </w:rPr>
      </w:pPr>
      <w:r>
        <w:rPr>
          <w:rFonts w:hint="default" w:ascii="Times New Roman" w:hAnsi="Times New Roman" w:eastAsia="仿宋_GB2312" w:cs="Times New Roman"/>
          <w:b/>
          <w:bCs/>
          <w:color w:val="auto"/>
          <w:spacing w:val="0"/>
          <w:position w:val="0"/>
          <w:sz w:val="32"/>
          <w:szCs w:val="32"/>
          <w:shd w:val="clear" w:color="auto" w:fill="auto"/>
          <w:lang w:val="en-US" w:eastAsia="zh-CN"/>
        </w:rPr>
        <w:t>4</w:t>
      </w:r>
      <w:r>
        <w:rPr>
          <w:rFonts w:hint="default" w:ascii="仿宋_GB2312" w:hAnsi="仿宋_GB2312" w:eastAsia="仿宋_GB2312" w:cs="仿宋_GB2312"/>
          <w:b/>
          <w:bCs/>
          <w:sz w:val="32"/>
          <w:szCs w:val="32"/>
          <w:lang w:val="en-US" w:eastAsia="zh-CN"/>
        </w:rPr>
        <w:t>.每</w:t>
      </w:r>
      <w:r>
        <w:rPr>
          <w:rFonts w:hint="default" w:ascii="Times New Roman" w:hAnsi="Times New Roman" w:eastAsia="仿宋_GB2312" w:cs="Times New Roman"/>
          <w:b/>
          <w:bCs/>
          <w:color w:val="auto"/>
          <w:spacing w:val="0"/>
          <w:position w:val="0"/>
          <w:sz w:val="32"/>
          <w:szCs w:val="32"/>
          <w:shd w:val="clear" w:color="auto" w:fill="auto"/>
          <w:lang w:val="en-US" w:eastAsia="zh-CN"/>
        </w:rPr>
        <w:t>年进行1次数据上报次数。</w:t>
      </w:r>
      <w:r>
        <w:rPr>
          <w:rFonts w:hint="default" w:ascii="Times New Roman" w:hAnsi="Times New Roman" w:eastAsia="仿宋_GB2312" w:cs="Times New Roman"/>
          <w:b w:val="0"/>
          <w:bCs w:val="0"/>
          <w:color w:val="auto"/>
          <w:spacing w:val="0"/>
          <w:position w:val="0"/>
          <w:sz w:val="32"/>
          <w:szCs w:val="32"/>
          <w:shd w:val="clear" w:color="auto" w:fill="auto"/>
          <w:lang w:val="en-US" w:eastAsia="zh-CN"/>
        </w:rPr>
        <w:t>按照国家要求的统计口径，</w:t>
      </w:r>
      <w:r>
        <w:rPr>
          <w:rFonts w:hint="default" w:ascii="Times New Roman" w:hAnsi="Times New Roman" w:eastAsia="仿宋_GB2312" w:cs="Times New Roman"/>
          <w:sz w:val="32"/>
          <w:szCs w:val="32"/>
          <w:lang w:val="en-US" w:eastAsia="zh-CN"/>
        </w:rPr>
        <w:t>完成各地市市卫生健康行政部门及监测机构价格成本监测工作联络信息登记收集；准确、及时地完成99家监测网络单位数据填报及自查工作，包括医疗机构基本情况表、医疗服务价格项目使用频次年报表、门急诊工作量年报表、住院工作量年报表、住院病案首页年报表、医疗机构科室成本基本情况表、医疗机构医辅科室工作量年报表，顺利完成2021年医疗服务价格和成本监测数据上报工作。并完成2017-2020年监测结果分析（详见附件）。</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hint="default" w:ascii="Times New Roman" w:hAnsi="Times New Roman" w:eastAsia="仿宋_GB2312" w:cs="Times New Roman"/>
          <w:b w:val="0"/>
          <w:bCs w:val="0"/>
          <w:color w:val="auto"/>
          <w:spacing w:val="0"/>
          <w:position w:val="0"/>
          <w:sz w:val="32"/>
          <w:szCs w:val="32"/>
          <w:shd w:val="clear" w:color="auto" w:fill="auto"/>
          <w:lang w:val="en-US" w:eastAsia="zh-CN"/>
        </w:rPr>
      </w:pPr>
      <w:r>
        <w:rPr>
          <w:rFonts w:hint="default" w:ascii="Times New Roman" w:hAnsi="Times New Roman" w:eastAsia="仿宋_GB2312" w:cs="Times New Roman"/>
          <w:b/>
          <w:bCs/>
          <w:color w:val="auto"/>
          <w:spacing w:val="0"/>
          <w:position w:val="0"/>
          <w:sz w:val="32"/>
          <w:szCs w:val="32"/>
          <w:shd w:val="clear" w:color="auto" w:fill="auto"/>
          <w:lang w:val="en-US" w:eastAsia="zh-CN"/>
        </w:rPr>
        <w:t>5</w:t>
      </w:r>
      <w:r>
        <w:rPr>
          <w:rFonts w:hint="default" w:ascii="仿宋_GB2312" w:hAnsi="仿宋_GB2312" w:eastAsia="仿宋_GB2312" w:cs="仿宋_GB2312"/>
          <w:b/>
          <w:bCs/>
          <w:sz w:val="32"/>
          <w:szCs w:val="32"/>
          <w:lang w:val="en-US" w:eastAsia="zh-CN"/>
        </w:rPr>
        <w:t>.相</w:t>
      </w:r>
      <w:r>
        <w:rPr>
          <w:rFonts w:hint="default" w:ascii="Times New Roman" w:hAnsi="Times New Roman" w:eastAsia="仿宋_GB2312" w:cs="Times New Roman"/>
          <w:b/>
          <w:bCs/>
          <w:color w:val="auto"/>
          <w:spacing w:val="0"/>
          <w:position w:val="0"/>
          <w:sz w:val="32"/>
          <w:szCs w:val="32"/>
          <w:shd w:val="clear" w:color="auto" w:fill="auto"/>
          <w:lang w:val="en-US" w:eastAsia="zh-CN"/>
        </w:rPr>
        <w:t>关政策收集及信息统计工作。</w:t>
      </w:r>
      <w:r>
        <w:rPr>
          <w:rFonts w:hint="default" w:ascii="Times New Roman" w:hAnsi="Times New Roman" w:eastAsia="仿宋_GB2312" w:cs="Times New Roman"/>
          <w:sz w:val="32"/>
          <w:szCs w:val="32"/>
          <w:lang w:val="en-US" w:eastAsia="zh-CN"/>
        </w:rPr>
        <w:t>动态梳理省市级医疗服务价格管理工作政策，定时更新省级医疗服务价格管理工作备案平台相关信息。</w:t>
      </w:r>
    </w:p>
    <w:p>
      <w:pPr>
        <w:pStyle w:val="4"/>
        <w:pageBreakBefore w:val="0"/>
        <w:widowControl w:val="0"/>
        <w:kinsoku/>
        <w:wordWrap/>
        <w:overflowPunct/>
        <w:topLinePunct w:val="0"/>
        <w:autoSpaceDE/>
        <w:autoSpaceDN/>
        <w:bidi w:val="0"/>
        <w:adjustRightInd/>
        <w:snapToGrid/>
        <w:spacing w:before="0" w:beforeLines="0" w:after="0" w:afterLines="0" w:line="580" w:lineRule="exact"/>
        <w:ind w:firstLine="640" w:firstLineChars="200"/>
        <w:textAlignment w:val="auto"/>
        <w:rPr>
          <w:rFonts w:hint="default" w:ascii="Times New Roman" w:hAnsi="Times New Roman" w:eastAsia="楷体_GB2312" w:cs="Times New Roman"/>
          <w:b w:val="0"/>
          <w:bCs/>
          <w:sz w:val="32"/>
          <w:szCs w:val="32"/>
        </w:rPr>
      </w:pPr>
      <w:bookmarkStart w:id="9" w:name="_Toc27321"/>
      <w:r>
        <w:rPr>
          <w:rFonts w:hint="default"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lang w:val="en-US" w:eastAsia="zh-CN"/>
        </w:rPr>
        <w:t>二</w:t>
      </w:r>
      <w:r>
        <w:rPr>
          <w:rFonts w:hint="default" w:ascii="Times New Roman" w:hAnsi="Times New Roman" w:eastAsia="楷体_GB2312" w:cs="Times New Roman"/>
          <w:b w:val="0"/>
          <w:bCs/>
          <w:sz w:val="32"/>
          <w:szCs w:val="32"/>
          <w:lang w:eastAsia="zh-CN"/>
        </w:rPr>
        <w:t>）</w:t>
      </w:r>
      <w:r>
        <w:rPr>
          <w:rFonts w:hint="default" w:ascii="Times New Roman" w:hAnsi="Times New Roman" w:eastAsia="楷体_GB2312" w:cs="Times New Roman"/>
          <w:b w:val="0"/>
          <w:bCs/>
          <w:sz w:val="32"/>
          <w:szCs w:val="32"/>
        </w:rPr>
        <w:t>有效性分析</w:t>
      </w:r>
      <w:bookmarkEnd w:id="9"/>
      <w:r>
        <w:rPr>
          <w:rFonts w:hint="default" w:ascii="Times New Roman" w:hAnsi="Times New Roman" w:eastAsia="楷体_GB2312" w:cs="Times New Roman"/>
          <w:b w:val="0"/>
          <w:bCs/>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完成</w:t>
      </w:r>
      <w:r>
        <w:rPr>
          <w:rFonts w:hint="default" w:ascii="Times New Roman" w:hAnsi="Times New Roman" w:eastAsia="仿宋_GB2312" w:cs="Times New Roman"/>
          <w:sz w:val="32"/>
          <w:szCs w:val="32"/>
        </w:rPr>
        <w:t>项目预期目标</w:t>
      </w:r>
      <w:r>
        <w:rPr>
          <w:rFonts w:hint="default" w:ascii="Times New Roman" w:hAnsi="Times New Roman" w:eastAsia="仿宋_GB2312" w:cs="Times New Roman"/>
          <w:sz w:val="32"/>
          <w:szCs w:val="32"/>
          <w:lang w:eastAsia="zh-CN"/>
        </w:rPr>
        <w:t>，完成2021年度组织网络成员单位参加国家</w:t>
      </w:r>
      <w:r>
        <w:rPr>
          <w:rFonts w:hint="default" w:ascii="Times New Roman" w:hAnsi="Times New Roman" w:eastAsia="仿宋_GB2312" w:cs="Times New Roman"/>
          <w:sz w:val="32"/>
          <w:szCs w:val="32"/>
          <w:lang w:val="en-US" w:eastAsia="zh-CN"/>
        </w:rPr>
        <w:t>及省级</w:t>
      </w:r>
      <w:r>
        <w:rPr>
          <w:rFonts w:hint="default" w:ascii="Times New Roman" w:hAnsi="Times New Roman" w:eastAsia="仿宋_GB2312" w:cs="Times New Roman"/>
          <w:sz w:val="32"/>
          <w:szCs w:val="32"/>
          <w:lang w:eastAsia="zh-CN"/>
        </w:rPr>
        <w:t>相关培训，提高成员单位的政策、研究和实施水平，</w:t>
      </w:r>
      <w:r>
        <w:rPr>
          <w:rFonts w:hint="default" w:ascii="Times New Roman" w:hAnsi="Times New Roman" w:eastAsia="仿宋_GB2312" w:cs="Times New Roman"/>
          <w:sz w:val="32"/>
          <w:szCs w:val="32"/>
          <w:lang w:val="en-US" w:eastAsia="zh-CN"/>
        </w:rPr>
        <w:t xml:space="preserve">按期完成数据填报的工作，基本达到项目绩效目标。  </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为推动和鼓励各单位进一步做好价格成本监测工作，根据国家先进单位（机构）评优维度，对工作组织得力、上报及时监测单位予以推荐。</w:t>
      </w:r>
    </w:p>
    <w:p>
      <w:pPr>
        <w:pStyle w:val="3"/>
        <w:pageBreakBefore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黑体" w:hAnsi="黑体" w:eastAsia="黑体" w:cs="黑体"/>
          <w:b w:val="0"/>
          <w:bCs/>
          <w:sz w:val="32"/>
          <w:szCs w:val="32"/>
        </w:rPr>
      </w:pPr>
      <w:bookmarkStart w:id="10" w:name="_Toc12829"/>
      <w:r>
        <w:rPr>
          <w:rFonts w:hint="default" w:ascii="黑体" w:hAnsi="黑体" w:eastAsia="黑体" w:cs="黑体"/>
          <w:b w:val="0"/>
          <w:bCs/>
          <w:sz w:val="32"/>
          <w:szCs w:val="32"/>
          <w:lang w:eastAsia="zh-CN"/>
        </w:rPr>
        <w:t>五</w:t>
      </w:r>
      <w:r>
        <w:rPr>
          <w:rFonts w:hint="default" w:ascii="黑体" w:hAnsi="黑体" w:eastAsia="黑体" w:cs="黑体"/>
          <w:b w:val="0"/>
          <w:bCs/>
          <w:sz w:val="32"/>
          <w:szCs w:val="32"/>
        </w:rPr>
        <w:t>、结论</w:t>
      </w:r>
      <w:bookmarkEnd w:id="10"/>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bookmarkStart w:id="11" w:name="_Toc12827"/>
      <w:r>
        <w:rPr>
          <w:rFonts w:hint="default" w:ascii="Times New Roman" w:hAnsi="Times New Roman" w:eastAsia="楷体_GB2312" w:cs="Times New Roman"/>
          <w:b w:val="0"/>
          <w:bCs w:val="0"/>
          <w:sz w:val="32"/>
          <w:szCs w:val="32"/>
        </w:rPr>
        <w:t>（一）主要指标情况及结论</w:t>
      </w:r>
      <w:bookmarkEnd w:id="11"/>
      <w:r>
        <w:rPr>
          <w:rFonts w:hint="default" w:ascii="Times New Roman" w:hAnsi="Times New Roman" w:eastAsia="楷体_GB2312" w:cs="Times New Roman"/>
          <w:b w:val="0"/>
          <w:bCs w:val="0"/>
          <w:sz w:val="32"/>
          <w:szCs w:val="32"/>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.完</w:t>
      </w:r>
      <w:r>
        <w:rPr>
          <w:rFonts w:hint="default" w:ascii="Times New Roman" w:hAnsi="Times New Roman" w:eastAsia="仿宋_GB2312" w:cs="Times New Roman"/>
          <w:kern w:val="2"/>
          <w:sz w:val="32"/>
          <w:szCs w:val="32"/>
          <w:lang w:val="en-US" w:eastAsia="zh-CN" w:bidi="ar-SA"/>
        </w:rPr>
        <w:t>成省级医疗服务价格和成本监测培训工作。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.网</w:t>
      </w:r>
      <w:r>
        <w:rPr>
          <w:rFonts w:hint="default" w:ascii="Times New Roman" w:hAnsi="Times New Roman" w:eastAsia="仿宋_GB2312" w:cs="Times New Roman"/>
          <w:kern w:val="2"/>
          <w:sz w:val="32"/>
          <w:szCs w:val="32"/>
          <w:lang w:val="en-US" w:eastAsia="zh-CN" w:bidi="ar-SA"/>
        </w:rPr>
        <w:t>络监测机构完成价格和成本监测7张报表的上报。</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w:t>
      </w:r>
      <w:r>
        <w:rPr>
          <w:rFonts w:hint="default" w:ascii="仿宋_GB2312" w:hAnsi="仿宋_GB2312" w:eastAsia="仿宋_GB2312" w:cs="仿宋_GB2312"/>
          <w:kern w:val="2"/>
          <w:sz w:val="32"/>
          <w:szCs w:val="32"/>
          <w:lang w:val="en-US" w:eastAsia="zh-CN" w:bidi="ar-SA"/>
        </w:rPr>
        <w:t>.完</w:t>
      </w:r>
      <w:r>
        <w:rPr>
          <w:rFonts w:hint="default" w:ascii="Times New Roman" w:hAnsi="Times New Roman" w:eastAsia="仿宋_GB2312" w:cs="Times New Roman"/>
          <w:kern w:val="2"/>
          <w:sz w:val="32"/>
          <w:szCs w:val="32"/>
          <w:lang w:val="en-US" w:eastAsia="zh-CN" w:bidi="ar-SA"/>
        </w:rPr>
        <w:t>成省级医疗服务价格管理工作备案平台填报内容。</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2"/>
          <w:sz w:val="32"/>
          <w:szCs w:val="32"/>
          <w:lang w:val="en-US" w:eastAsia="zh-CN" w:bidi="ar-SA"/>
        </w:rPr>
        <w:t>4</w:t>
      </w:r>
      <w:r>
        <w:rPr>
          <w:rFonts w:hint="default" w:ascii="仿宋_GB2312" w:hAnsi="仿宋_GB2312" w:eastAsia="仿宋_GB2312" w:cs="仿宋_GB2312"/>
          <w:kern w:val="2"/>
          <w:sz w:val="32"/>
          <w:szCs w:val="32"/>
          <w:lang w:val="en-US" w:eastAsia="zh-CN" w:bidi="ar-SA"/>
        </w:rPr>
        <w:t>.完</w:t>
      </w:r>
      <w:r>
        <w:rPr>
          <w:rFonts w:hint="default" w:ascii="Times New Roman" w:hAnsi="Times New Roman" w:eastAsia="仿宋_GB2312" w:cs="Times New Roman"/>
          <w:kern w:val="2"/>
          <w:sz w:val="32"/>
          <w:szCs w:val="32"/>
          <w:lang w:val="en-US" w:eastAsia="zh-CN" w:bidi="ar-SA"/>
        </w:rPr>
        <w:t>成我省2017-2020年</w:t>
      </w:r>
      <w:r>
        <w:rPr>
          <w:rFonts w:hint="default" w:ascii="Times New Roman" w:hAnsi="Times New Roman" w:eastAsia="仿宋_GB2312" w:cs="Times New Roman"/>
          <w:sz w:val="32"/>
          <w:szCs w:val="32"/>
          <w:lang w:val="en-US" w:eastAsia="zh-CN"/>
        </w:rPr>
        <w:t>监测机构结果分析。</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sz w:val="32"/>
          <w:szCs w:val="32"/>
          <w:lang w:val="en-US" w:eastAsia="zh-CN"/>
        </w:rPr>
        <w:t>5</w:t>
      </w:r>
      <w:r>
        <w:rPr>
          <w:rFonts w:hint="default" w:ascii="仿宋_GB2312" w:hAnsi="仿宋_GB2312" w:eastAsia="仿宋_GB2312" w:cs="仿宋_GB2312"/>
          <w:kern w:val="2"/>
          <w:sz w:val="32"/>
          <w:szCs w:val="32"/>
          <w:lang w:val="en-US" w:eastAsia="zh-CN" w:bidi="ar-SA"/>
        </w:rPr>
        <w:t>.总</w:t>
      </w:r>
      <w:r>
        <w:rPr>
          <w:rFonts w:hint="default" w:ascii="Times New Roman" w:hAnsi="Times New Roman" w:eastAsia="仿宋_GB2312" w:cs="Times New Roman"/>
          <w:sz w:val="32"/>
          <w:szCs w:val="32"/>
          <w:lang w:val="en-US" w:eastAsia="zh-CN"/>
        </w:rPr>
        <w:t>结省级师资数据审核发现的主要问题。</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b w:val="0"/>
          <w:bCs w:val="0"/>
          <w:sz w:val="32"/>
          <w:szCs w:val="32"/>
        </w:rPr>
      </w:pPr>
      <w:bookmarkStart w:id="12" w:name="_Toc6359"/>
      <w:r>
        <w:rPr>
          <w:rFonts w:hint="default" w:ascii="Times New Roman" w:hAnsi="Times New Roman" w:eastAsia="楷体_GB2312" w:cs="Times New Roman"/>
          <w:b w:val="0"/>
          <w:bCs w:val="0"/>
          <w:sz w:val="32"/>
          <w:szCs w:val="32"/>
        </w:rPr>
        <w:t>（二）主要经验及做法</w:t>
      </w:r>
      <w:bookmarkEnd w:id="12"/>
      <w:r>
        <w:rPr>
          <w:rFonts w:hint="default" w:ascii="Times New Roman" w:hAnsi="Times New Roman" w:eastAsia="楷体_GB2312" w:cs="Times New Roman"/>
          <w:b w:val="0"/>
          <w:bCs w:val="0"/>
          <w:sz w:val="32"/>
          <w:szCs w:val="32"/>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1</w:t>
      </w:r>
      <w:r>
        <w:rPr>
          <w:rFonts w:hint="default" w:ascii="仿宋_GB2312" w:hAnsi="仿宋_GB2312" w:eastAsia="仿宋_GB2312" w:cs="仿宋_GB2312"/>
          <w:b/>
          <w:bCs/>
          <w:kern w:val="2"/>
          <w:sz w:val="32"/>
          <w:szCs w:val="32"/>
          <w:lang w:val="en-US" w:eastAsia="zh-CN" w:bidi="ar-SA"/>
        </w:rPr>
        <w:t>.领</w:t>
      </w:r>
      <w:r>
        <w:rPr>
          <w:rFonts w:hint="default" w:ascii="Times New Roman" w:hAnsi="Times New Roman" w:eastAsia="仿宋_GB2312" w:cs="Times New Roman"/>
          <w:b/>
          <w:bCs/>
          <w:color w:val="auto"/>
          <w:kern w:val="2"/>
          <w:sz w:val="32"/>
          <w:szCs w:val="32"/>
          <w:lang w:val="en-US" w:eastAsia="zh-CN" w:bidi="ar-SA"/>
        </w:rPr>
        <w:t>导重视，引入第三方管理。</w:t>
      </w:r>
      <w:r>
        <w:rPr>
          <w:rFonts w:hint="default" w:ascii="Times New Roman" w:hAnsi="Times New Roman" w:eastAsia="仿宋_GB2312" w:cs="Times New Roman"/>
          <w:color w:val="auto"/>
          <w:kern w:val="2"/>
          <w:sz w:val="32"/>
          <w:szCs w:val="32"/>
          <w:lang w:val="en-US" w:eastAsia="zh-CN" w:bidi="ar-SA"/>
        </w:rPr>
        <w:t>我委高度重视医疗服务价格和成本监测工作，一方面，继续做好各项具体指标的定义的解释说明工作，帮助监测单位及时完成数据填报工作；另一方面，组织专门力量持续推进监测工作，委托南方医科大学卫生与健康管理研究院作为我省医疗服务价格和成本监测项目管理单位，专门负责组织监测工作的培训、指导、数据分析，对未及时完成填报工作的单位进行督促、催报等工作。</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2</w:t>
      </w:r>
      <w:r>
        <w:rPr>
          <w:rFonts w:hint="default" w:ascii="仿宋_GB2312" w:hAnsi="仿宋_GB2312" w:eastAsia="仿宋_GB2312" w:cs="仿宋_GB2312"/>
          <w:b/>
          <w:bCs/>
          <w:kern w:val="2"/>
          <w:sz w:val="32"/>
          <w:szCs w:val="32"/>
          <w:lang w:val="en-US" w:eastAsia="zh-CN" w:bidi="ar-SA"/>
        </w:rPr>
        <w:t>.全</w:t>
      </w:r>
      <w:r>
        <w:rPr>
          <w:rFonts w:hint="default" w:ascii="Times New Roman" w:hAnsi="Times New Roman" w:eastAsia="仿宋_GB2312" w:cs="Times New Roman"/>
          <w:b/>
          <w:bCs/>
          <w:color w:val="auto"/>
          <w:kern w:val="2"/>
          <w:sz w:val="32"/>
          <w:szCs w:val="32"/>
          <w:lang w:val="en-US" w:eastAsia="zh-CN" w:bidi="ar-SA"/>
        </w:rPr>
        <w:t>员培训。</w:t>
      </w:r>
      <w:r>
        <w:rPr>
          <w:rFonts w:hint="default" w:ascii="Times New Roman" w:hAnsi="Times New Roman" w:eastAsia="仿宋_GB2312" w:cs="Times New Roman"/>
          <w:color w:val="auto"/>
          <w:kern w:val="2"/>
          <w:sz w:val="32"/>
          <w:szCs w:val="32"/>
          <w:lang w:val="en-US" w:eastAsia="zh-CN" w:bidi="ar-SA"/>
        </w:rPr>
        <w:t>及时组织监测单位进行培训，重点学习填报内容、填报方法及注意事项等，保证填报质量。</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3"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b/>
          <w:bCs/>
          <w:color w:val="auto"/>
          <w:kern w:val="2"/>
          <w:sz w:val="32"/>
          <w:szCs w:val="32"/>
          <w:lang w:val="en-US" w:eastAsia="zh-CN" w:bidi="ar-SA"/>
        </w:rPr>
        <w:t>3</w:t>
      </w:r>
      <w:r>
        <w:rPr>
          <w:rFonts w:hint="default" w:ascii="仿宋_GB2312" w:hAnsi="仿宋_GB2312" w:eastAsia="仿宋_GB2312" w:cs="仿宋_GB2312"/>
          <w:b/>
          <w:bCs/>
          <w:kern w:val="2"/>
          <w:sz w:val="32"/>
          <w:szCs w:val="32"/>
          <w:lang w:val="en-US" w:eastAsia="zh-CN" w:bidi="ar-SA"/>
        </w:rPr>
        <w:t>.创新培训。</w:t>
      </w:r>
      <w:r>
        <w:rPr>
          <w:rFonts w:hint="default" w:ascii="仿宋_GB2312" w:hAnsi="仿宋_GB2312" w:eastAsia="仿宋_GB2312" w:cs="仿宋_GB2312"/>
          <w:kern w:val="2"/>
          <w:sz w:val="32"/>
          <w:szCs w:val="32"/>
          <w:lang w:val="en-US" w:eastAsia="zh-CN" w:bidi="ar-SA"/>
        </w:rPr>
        <w:t>针对价格管理人员缺乏系统性继续教育培训的现状，我</w:t>
      </w:r>
      <w:r>
        <w:rPr>
          <w:rFonts w:hint="default" w:ascii="Times New Roman" w:hAnsi="Times New Roman" w:eastAsia="仿宋_GB2312" w:cs="Times New Roman"/>
          <w:color w:val="auto"/>
          <w:kern w:val="2"/>
          <w:sz w:val="32"/>
          <w:szCs w:val="32"/>
          <w:lang w:val="en-US" w:eastAsia="zh-CN" w:bidi="ar-SA"/>
        </w:rPr>
        <w:t>委举办了广东省医院价格管理骨干人才培训班，涉及价格管理基本理论、基础知识、基本技能、医改方针政策等，以线上方式长期开放医疗机构价格管理人员进行培训，并组织了结业考试。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sz w:val="32"/>
          <w:szCs w:val="32"/>
        </w:rPr>
      </w:pPr>
      <w:bookmarkStart w:id="13" w:name="_Toc13552"/>
      <w:r>
        <w:rPr>
          <w:rFonts w:hint="default" w:ascii="Times New Roman" w:hAnsi="Times New Roman" w:eastAsia="楷体_GB2312" w:cs="Times New Roman"/>
          <w:b w:val="0"/>
          <w:bCs w:val="0"/>
          <w:sz w:val="32"/>
          <w:szCs w:val="32"/>
        </w:rPr>
        <w:t>（三）存在的困难、问题</w:t>
      </w:r>
      <w:bookmarkEnd w:id="13"/>
      <w:r>
        <w:rPr>
          <w:rFonts w:hint="default" w:ascii="Times New Roman" w:hAnsi="Times New Roman" w:eastAsia="楷体_GB2312" w:cs="Times New Roman"/>
          <w:b w:val="0"/>
          <w:bCs w:val="0"/>
          <w:sz w:val="32"/>
          <w:szCs w:val="32"/>
          <w:lang w:eastAsia="zh-CN"/>
        </w:rPr>
        <w:t>。</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default"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2021年依据国家要求，监测成员结构调整，增加至99家，</w:t>
      </w:r>
      <w:r>
        <w:rPr>
          <w:rFonts w:hint="default" w:ascii="Times New Roman" w:hAnsi="Times New Roman" w:eastAsia="仿宋_GB2312" w:cs="Times New Roman"/>
          <w:sz w:val="32"/>
          <w:szCs w:val="32"/>
          <w:lang w:val="en-US" w:eastAsia="zh-CN"/>
        </w:rPr>
        <w:t>是全国监测单位最多的省份，填报任务较重。</w:t>
      </w:r>
      <w:r>
        <w:rPr>
          <w:rFonts w:hint="default" w:ascii="Times New Roman" w:hAnsi="Times New Roman" w:eastAsia="仿宋_GB2312" w:cs="Times New Roman"/>
          <w:color w:val="auto"/>
          <w:kern w:val="2"/>
          <w:sz w:val="32"/>
          <w:szCs w:val="32"/>
          <w:lang w:val="en-US" w:eastAsia="zh-CN" w:bidi="ar-SA"/>
        </w:rPr>
        <w:t>新增的18家成员单位对于监测填报内容熟悉程度较低，且监测成员单位长期存在信息化建设参差不齐，填报人员专业跨度大，价格管理人员缺乏系统性继续教育培训的问题，难以发挥信息化优势，部分机构仍存在手工上报现象。</w:t>
      </w:r>
    </w:p>
    <w:p>
      <w:pPr>
        <w:pStyle w:val="6"/>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auto"/>
          <w:kern w:val="2"/>
          <w:sz w:val="32"/>
          <w:szCs w:val="32"/>
          <w:lang w:val="en-US" w:eastAsia="zh-CN" w:bidi="ar-SA"/>
        </w:rPr>
        <w:t>2</w:t>
      </w:r>
      <w:r>
        <w:rPr>
          <w:rFonts w:hint="default" w:ascii="仿宋_GB2312" w:hAnsi="仿宋_GB2312" w:eastAsia="仿宋_GB2312" w:cs="仿宋_GB2312"/>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由于广东省把医疗服务价格定价权下放至各地市，各地市出台的价格相关政策时间不一、内容不一，在全面收集政策上存在困难，各地市价格信息不畅通。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_GB2312" w:cs="Times New Roman"/>
          <w:b w:val="0"/>
          <w:bCs w:val="0"/>
          <w:sz w:val="32"/>
          <w:szCs w:val="32"/>
        </w:rPr>
      </w:pPr>
      <w:bookmarkStart w:id="14" w:name="_Toc8814"/>
      <w:r>
        <w:rPr>
          <w:rFonts w:hint="default" w:ascii="Times New Roman" w:hAnsi="Times New Roman" w:eastAsia="楷体_GB2312" w:cs="Times New Roman"/>
          <w:b w:val="0"/>
          <w:bCs w:val="0"/>
          <w:sz w:val="32"/>
          <w:szCs w:val="32"/>
        </w:rPr>
        <w:t>（四）工作建议</w:t>
      </w:r>
      <w:bookmarkEnd w:id="14"/>
      <w:r>
        <w:rPr>
          <w:rFonts w:hint="default" w:ascii="Times New Roman" w:hAnsi="Times New Roman" w:eastAsia="楷体_GB2312" w:cs="Times New Roman"/>
          <w:b w:val="0"/>
          <w:bCs w:val="0"/>
          <w:sz w:val="32"/>
          <w:szCs w:val="32"/>
          <w:lang w:eastAsia="zh-CN"/>
        </w:rPr>
        <w:t>。</w:t>
      </w:r>
    </w:p>
    <w:p>
      <w:pPr>
        <w:pStyle w:val="10"/>
        <w:keepNext w:val="0"/>
        <w:keepLines w:val="0"/>
        <w:pageBreakBefore w:val="0"/>
        <w:widowControl/>
        <w:kinsoku/>
        <w:wordWrap/>
        <w:overflowPunct/>
        <w:topLinePunct w:val="0"/>
        <w:autoSpaceDE/>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1</w:t>
      </w:r>
      <w:r>
        <w:rPr>
          <w:rFonts w:hint="default" w:ascii="仿宋_GB2312" w:hAnsi="仿宋_GB2312" w:eastAsia="仿宋_GB2312" w:cs="仿宋_GB2312"/>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参考国家医疗服务价格管理工作备案平台的工作模式，建立我省的医疗服务价格管理工作备案平台，对医疗服务项目更新、调整情况及发布的相关政策及时上传备案平台。项目管理组定期进行公示，及时了解全国及广东省价格改革动态情况。</w:t>
      </w:r>
    </w:p>
    <w:p>
      <w:pPr>
        <w:pStyle w:val="10"/>
        <w:keepNext w:val="0"/>
        <w:keepLines w:val="0"/>
        <w:pageBreakBefore w:val="0"/>
        <w:widowControl/>
        <w:kinsoku/>
        <w:wordWrap/>
        <w:overflowPunct/>
        <w:topLinePunct w:val="0"/>
        <w:autoSpaceDE/>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.建</w:t>
      </w:r>
      <w:r>
        <w:rPr>
          <w:rFonts w:hint="default" w:ascii="Times New Roman" w:hAnsi="Times New Roman" w:eastAsia="仿宋_GB2312" w:cs="Times New Roman"/>
          <w:color w:val="auto"/>
          <w:kern w:val="2"/>
          <w:sz w:val="32"/>
          <w:szCs w:val="32"/>
          <w:lang w:val="en-US" w:eastAsia="zh-CN" w:bidi="ar-SA"/>
        </w:rPr>
        <w:t>立省级监测网络成员队伍，提高监测数据的代表性。助力医疗机构价格管理。需进一步提升数据填报质量，加强数据挖掘与利用，从一般性分析转向提供与改革紧密相衔接的数据分析支持，产出有价值的监测报告。</w:t>
      </w:r>
    </w:p>
    <w:p>
      <w:pPr>
        <w:pStyle w:val="10"/>
        <w:keepNext w:val="0"/>
        <w:keepLines w:val="0"/>
        <w:pageBreakBefore w:val="0"/>
        <w:widowControl/>
        <w:kinsoku/>
        <w:wordWrap/>
        <w:overflowPunct/>
        <w:topLinePunct w:val="0"/>
        <w:autoSpaceDE/>
        <w:autoSpaceDN/>
        <w:bidi w:val="0"/>
        <w:adjustRightInd/>
        <w:snapToGrid/>
        <w:spacing w:before="0" w:after="0" w:line="560" w:lineRule="exact"/>
        <w:ind w:left="0" w:firstLine="640" w:firstLineChars="200"/>
        <w:jc w:val="both"/>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w:t>
      </w:r>
      <w:r>
        <w:rPr>
          <w:rFonts w:hint="default" w:ascii="仿宋_GB2312" w:hAnsi="仿宋_GB2312" w:eastAsia="仿宋_GB2312" w:cs="仿宋_GB2312"/>
          <w:color w:val="auto"/>
          <w:kern w:val="2"/>
          <w:sz w:val="32"/>
          <w:szCs w:val="32"/>
          <w:lang w:val="en-US" w:eastAsia="zh-CN" w:bidi="ar-SA"/>
        </w:rPr>
        <w:t>及</w:t>
      </w:r>
      <w:r>
        <w:rPr>
          <w:rFonts w:hint="default" w:ascii="Times New Roman" w:hAnsi="Times New Roman" w:eastAsia="仿宋_GB2312" w:cs="Times New Roman"/>
          <w:color w:val="auto"/>
          <w:kern w:val="2"/>
          <w:sz w:val="32"/>
          <w:szCs w:val="32"/>
          <w:lang w:val="en-US" w:eastAsia="zh-CN" w:bidi="ar-SA"/>
        </w:rPr>
        <w:t>时总结省级数据审核平台中监测成员单位数据上报的问题，作为下一年培训的重点内容，持续提高监测单位数据上报质量。</w:t>
      </w:r>
    </w:p>
    <w:p>
      <w:pPr>
        <w:pStyle w:val="3"/>
        <w:pageBreakBefore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黑体" w:hAnsi="黑体" w:eastAsia="黑体" w:cs="黑体"/>
          <w:b w:val="0"/>
          <w:bCs/>
          <w:sz w:val="32"/>
          <w:szCs w:val="32"/>
        </w:rPr>
      </w:pPr>
      <w:bookmarkStart w:id="15" w:name="_Toc15496"/>
      <w:r>
        <w:rPr>
          <w:rFonts w:hint="default" w:ascii="黑体" w:hAnsi="黑体" w:eastAsia="黑体" w:cs="黑体"/>
          <w:b w:val="0"/>
          <w:bCs/>
          <w:sz w:val="32"/>
          <w:szCs w:val="32"/>
          <w:lang w:eastAsia="zh-CN"/>
        </w:rPr>
        <w:t>六</w:t>
      </w:r>
      <w:r>
        <w:rPr>
          <w:rFonts w:hint="default" w:ascii="黑体" w:hAnsi="黑体" w:eastAsia="黑体" w:cs="黑体"/>
          <w:b w:val="0"/>
          <w:bCs/>
          <w:sz w:val="32"/>
          <w:szCs w:val="32"/>
        </w:rPr>
        <w:t>、附件</w:t>
      </w:r>
      <w:bookmarkEnd w:id="15"/>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_GB2312" w:cs="Times New Roman"/>
          <w:sz w:val="32"/>
          <w:szCs w:val="32"/>
          <w:lang w:val="en-US" w:eastAsia="zh-CN"/>
        </w:rPr>
      </w:pPr>
      <w:bookmarkStart w:id="16" w:name="_Toc3757"/>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一</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广东省2017-2020年监测机构结果概况</w:t>
      </w:r>
      <w:bookmarkEnd w:id="16"/>
      <w:r>
        <w:rPr>
          <w:rFonts w:hint="default" w:ascii="Times New Roman" w:hAnsi="Times New Roman" w:eastAsia="楷体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从地市上看，有部分地市连续几年参评机构考核平均分均高于省平均分，例如珠海、佛山、茂名市，有些地市监测机构逐步提高上报的质量，例如深圳、揭阳市。从各管理类别参评机构评分情况上看，县(市)级机构考核平均分较高；从专科类型上看，中医院考核平均值较稳定。未完成填报工作的不纳入参评。</w:t>
      </w:r>
    </w:p>
    <w:p>
      <w:pPr>
        <w:pStyle w:val="10"/>
        <w:keepNext w:val="0"/>
        <w:keepLines w:val="0"/>
        <w:pageBreakBefore w:val="0"/>
        <w:widowControl/>
        <w:kinsoku/>
        <w:wordWrap/>
        <w:overflowPunct/>
        <w:topLinePunct w:val="0"/>
        <w:autoSpaceDE/>
        <w:autoSpaceDN/>
        <w:bidi w:val="0"/>
        <w:adjustRightInd/>
        <w:snapToGrid/>
        <w:spacing w:before="0" w:after="0" w:line="560" w:lineRule="exact"/>
        <w:ind w:left="0" w:leftChars="0" w:firstLine="0" w:firstLineChars="0"/>
        <w:jc w:val="center"/>
        <w:textAlignment w:val="auto"/>
        <w:rPr>
          <w:rFonts w:hint="default" w:ascii="Times New Roman" w:hAnsi="Times New Roman" w:eastAsia="仿宋_GB2312" w:cs="Times New Roman"/>
          <w:b/>
          <w:bCs/>
          <w:i w:val="0"/>
          <w:iCs w:val="0"/>
          <w:color w:val="000000"/>
          <w:kern w:val="24"/>
          <w:sz w:val="28"/>
          <w:szCs w:val="28"/>
          <w:u w:val="none"/>
        </w:rPr>
      </w:pPr>
      <w:r>
        <w:rPr>
          <w:rFonts w:hint="default" w:ascii="Times New Roman" w:hAnsi="Times New Roman" w:eastAsia="仿宋_GB2312" w:cs="Times New Roman"/>
          <w:b/>
          <w:bCs/>
          <w:i w:val="0"/>
          <w:iCs w:val="0"/>
          <w:color w:val="000000"/>
          <w:kern w:val="24"/>
          <w:sz w:val="28"/>
          <w:szCs w:val="28"/>
          <w:u w:val="none"/>
          <w:lang w:val="en-US" w:eastAsia="zh-CN"/>
        </w:rPr>
        <w:t xml:space="preserve">表1   </w:t>
      </w:r>
      <w:r>
        <w:rPr>
          <w:rFonts w:hint="default" w:ascii="Times New Roman" w:hAnsi="Times New Roman" w:eastAsia="仿宋_GB2312" w:cs="Times New Roman"/>
          <w:b/>
          <w:bCs/>
          <w:i w:val="0"/>
          <w:iCs w:val="0"/>
          <w:color w:val="000000"/>
          <w:kern w:val="24"/>
          <w:sz w:val="28"/>
          <w:szCs w:val="28"/>
          <w:u w:val="none"/>
        </w:rPr>
        <w:t>2017-2020年</w:t>
      </w:r>
      <w:r>
        <w:rPr>
          <w:rFonts w:hint="default" w:ascii="Times New Roman" w:hAnsi="Times New Roman" w:eastAsia="仿宋_GB2312" w:cs="Times New Roman"/>
          <w:b/>
          <w:bCs/>
          <w:i w:val="0"/>
          <w:iCs w:val="0"/>
          <w:color w:val="000000"/>
          <w:kern w:val="24"/>
          <w:sz w:val="28"/>
          <w:szCs w:val="28"/>
          <w:u w:val="none"/>
          <w:lang w:val="en-US" w:eastAsia="zh-CN"/>
        </w:rPr>
        <w:t>广东省</w:t>
      </w:r>
      <w:r>
        <w:rPr>
          <w:rFonts w:hint="default" w:ascii="Times New Roman" w:hAnsi="Times New Roman" w:eastAsia="仿宋_GB2312" w:cs="Times New Roman"/>
          <w:b/>
          <w:bCs/>
          <w:i w:val="0"/>
          <w:iCs w:val="0"/>
          <w:color w:val="000000"/>
          <w:kern w:val="24"/>
          <w:sz w:val="28"/>
          <w:szCs w:val="28"/>
          <w:u w:val="none"/>
        </w:rPr>
        <w:t>参评机构评分情况</w:t>
      </w:r>
    </w:p>
    <w:tbl>
      <w:tblPr>
        <w:tblStyle w:val="8"/>
        <w:tblW w:w="0" w:type="auto"/>
        <w:jc w:val="center"/>
        <w:tblLayout w:type="fixed"/>
        <w:tblCellMar>
          <w:top w:w="0" w:type="dxa"/>
          <w:left w:w="0" w:type="dxa"/>
          <w:bottom w:w="0" w:type="dxa"/>
          <w:right w:w="0" w:type="dxa"/>
        </w:tblCellMar>
      </w:tblPr>
      <w:tblGrid>
        <w:gridCol w:w="2472"/>
        <w:gridCol w:w="1518"/>
        <w:gridCol w:w="1518"/>
        <w:gridCol w:w="1300"/>
        <w:gridCol w:w="2066"/>
      </w:tblGrid>
      <w:tr>
        <w:tblPrEx>
          <w:tblCellMar>
            <w:top w:w="0" w:type="dxa"/>
            <w:left w:w="0" w:type="dxa"/>
            <w:bottom w:w="0" w:type="dxa"/>
            <w:right w:w="0" w:type="dxa"/>
          </w:tblCellMar>
        </w:tblPrEx>
        <w:trPr>
          <w:trHeight w:val="588" w:hRule="atLeast"/>
          <w:jc w:val="center"/>
        </w:trPr>
        <w:tc>
          <w:tcPr>
            <w:tcW w:w="247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eastAsia" w:ascii="黑体" w:hAnsi="黑体" w:eastAsia="黑体" w:cs="黑体"/>
                <w:b w:val="0"/>
                <w:bCs w:val="0"/>
                <w:color w:val="000000"/>
                <w:sz w:val="28"/>
                <w:szCs w:val="28"/>
              </w:rPr>
            </w:pPr>
            <w:r>
              <w:rPr>
                <w:rFonts w:hint="eastAsia" w:ascii="黑体" w:hAnsi="黑体" w:eastAsia="黑体" w:cs="黑体"/>
                <w:b w:val="0"/>
                <w:bCs w:val="0"/>
                <w:i w:val="0"/>
                <w:iCs w:val="0"/>
                <w:color w:val="000000"/>
                <w:kern w:val="24"/>
                <w:sz w:val="28"/>
                <w:szCs w:val="28"/>
                <w:u w:val="none"/>
              </w:rPr>
              <w:t>年份</w:t>
            </w:r>
          </w:p>
        </w:tc>
        <w:tc>
          <w:tcPr>
            <w:tcW w:w="151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eastAsia" w:ascii="黑体" w:hAnsi="黑体" w:eastAsia="黑体" w:cs="黑体"/>
                <w:b w:val="0"/>
                <w:bCs w:val="0"/>
                <w:color w:val="000000"/>
                <w:sz w:val="28"/>
                <w:szCs w:val="28"/>
              </w:rPr>
            </w:pPr>
            <w:r>
              <w:rPr>
                <w:rFonts w:hint="eastAsia" w:ascii="黑体" w:hAnsi="黑体" w:eastAsia="黑体" w:cs="黑体"/>
                <w:b w:val="0"/>
                <w:bCs w:val="0"/>
                <w:i w:val="0"/>
                <w:iCs w:val="0"/>
                <w:color w:val="000000"/>
                <w:kern w:val="24"/>
                <w:sz w:val="28"/>
                <w:szCs w:val="28"/>
                <w:u w:val="none"/>
              </w:rPr>
              <w:t>平均分</w:t>
            </w:r>
          </w:p>
        </w:tc>
        <w:tc>
          <w:tcPr>
            <w:tcW w:w="151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eastAsia" w:ascii="黑体" w:hAnsi="黑体" w:eastAsia="黑体" w:cs="黑体"/>
                <w:b w:val="0"/>
                <w:bCs w:val="0"/>
                <w:color w:val="000000"/>
                <w:sz w:val="28"/>
                <w:szCs w:val="28"/>
              </w:rPr>
            </w:pPr>
            <w:r>
              <w:rPr>
                <w:rFonts w:hint="eastAsia" w:ascii="黑体" w:hAnsi="黑体" w:eastAsia="黑体" w:cs="黑体"/>
                <w:b w:val="0"/>
                <w:bCs w:val="0"/>
                <w:i w:val="0"/>
                <w:iCs w:val="0"/>
                <w:color w:val="000000"/>
                <w:kern w:val="24"/>
                <w:sz w:val="28"/>
                <w:szCs w:val="28"/>
                <w:u w:val="none"/>
              </w:rPr>
              <w:t>最高分</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eastAsia" w:ascii="黑体" w:hAnsi="黑体" w:eastAsia="黑体" w:cs="黑体"/>
                <w:b w:val="0"/>
                <w:bCs w:val="0"/>
                <w:color w:val="000000"/>
                <w:sz w:val="28"/>
                <w:szCs w:val="28"/>
              </w:rPr>
            </w:pPr>
            <w:r>
              <w:rPr>
                <w:rFonts w:hint="eastAsia" w:ascii="黑体" w:hAnsi="黑体" w:eastAsia="黑体" w:cs="黑体"/>
                <w:b w:val="0"/>
                <w:bCs w:val="0"/>
                <w:i w:val="0"/>
                <w:iCs w:val="0"/>
                <w:color w:val="000000"/>
                <w:kern w:val="24"/>
                <w:sz w:val="28"/>
                <w:szCs w:val="28"/>
                <w:u w:val="none"/>
              </w:rPr>
              <w:t>最低分</w:t>
            </w:r>
          </w:p>
        </w:tc>
        <w:tc>
          <w:tcPr>
            <w:tcW w:w="206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eastAsia" w:ascii="黑体" w:hAnsi="黑体" w:eastAsia="黑体" w:cs="黑体"/>
                <w:b w:val="0"/>
                <w:bCs w:val="0"/>
                <w:color w:val="000000"/>
                <w:sz w:val="28"/>
                <w:szCs w:val="28"/>
              </w:rPr>
            </w:pPr>
            <w:r>
              <w:rPr>
                <w:rFonts w:hint="eastAsia" w:ascii="黑体" w:hAnsi="黑体" w:eastAsia="黑体" w:cs="黑体"/>
                <w:b w:val="0"/>
                <w:bCs w:val="0"/>
                <w:i w:val="0"/>
                <w:iCs w:val="0"/>
                <w:color w:val="000000"/>
                <w:kern w:val="24"/>
                <w:sz w:val="28"/>
                <w:szCs w:val="28"/>
                <w:u w:val="none"/>
              </w:rPr>
              <w:t>中位数</w:t>
            </w:r>
          </w:p>
        </w:tc>
      </w:tr>
      <w:tr>
        <w:tblPrEx>
          <w:tblCellMar>
            <w:top w:w="0" w:type="dxa"/>
            <w:left w:w="0" w:type="dxa"/>
            <w:bottom w:w="0" w:type="dxa"/>
            <w:right w:w="0" w:type="dxa"/>
          </w:tblCellMar>
        </w:tblPrEx>
        <w:trPr>
          <w:trHeight w:val="510" w:hRule="exact"/>
          <w:jc w:val="center"/>
        </w:trPr>
        <w:tc>
          <w:tcPr>
            <w:tcW w:w="247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24"/>
                <w:sz w:val="28"/>
                <w:szCs w:val="28"/>
                <w:u w:val="none"/>
              </w:rPr>
              <w:t>2020年</w:t>
            </w:r>
          </w:p>
        </w:tc>
        <w:tc>
          <w:tcPr>
            <w:tcW w:w="151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24"/>
                <w:sz w:val="28"/>
                <w:szCs w:val="28"/>
                <w:u w:val="none"/>
              </w:rPr>
              <w:t xml:space="preserve">68.96 </w:t>
            </w:r>
          </w:p>
        </w:tc>
        <w:tc>
          <w:tcPr>
            <w:tcW w:w="151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24"/>
                <w:sz w:val="28"/>
                <w:szCs w:val="28"/>
                <w:u w:val="none"/>
              </w:rPr>
              <w:t>85.14</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24"/>
                <w:sz w:val="28"/>
                <w:szCs w:val="28"/>
                <w:u w:val="none"/>
              </w:rPr>
              <w:t>37.8</w:t>
            </w:r>
          </w:p>
        </w:tc>
        <w:tc>
          <w:tcPr>
            <w:tcW w:w="206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24"/>
                <w:sz w:val="28"/>
                <w:szCs w:val="28"/>
                <w:u w:val="none"/>
              </w:rPr>
              <w:t>70.97</w:t>
            </w:r>
          </w:p>
        </w:tc>
      </w:tr>
      <w:tr>
        <w:tblPrEx>
          <w:tblCellMar>
            <w:top w:w="0" w:type="dxa"/>
            <w:left w:w="0" w:type="dxa"/>
            <w:bottom w:w="0" w:type="dxa"/>
            <w:right w:w="0" w:type="dxa"/>
          </w:tblCellMar>
        </w:tblPrEx>
        <w:trPr>
          <w:trHeight w:val="510" w:hRule="exact"/>
          <w:jc w:val="center"/>
        </w:trPr>
        <w:tc>
          <w:tcPr>
            <w:tcW w:w="247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24"/>
                <w:sz w:val="28"/>
                <w:szCs w:val="28"/>
                <w:u w:val="none"/>
              </w:rPr>
              <w:t>2019年</w:t>
            </w:r>
          </w:p>
        </w:tc>
        <w:tc>
          <w:tcPr>
            <w:tcW w:w="151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24"/>
                <w:sz w:val="28"/>
                <w:szCs w:val="28"/>
                <w:u w:val="none"/>
              </w:rPr>
              <w:t>77.95</w:t>
            </w:r>
          </w:p>
        </w:tc>
        <w:tc>
          <w:tcPr>
            <w:tcW w:w="151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24"/>
                <w:sz w:val="28"/>
                <w:szCs w:val="28"/>
                <w:u w:val="none"/>
              </w:rPr>
              <w:t xml:space="preserve">92.21 </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24"/>
                <w:sz w:val="28"/>
                <w:szCs w:val="28"/>
                <w:u w:val="none"/>
              </w:rPr>
              <w:t xml:space="preserve">64.82 </w:t>
            </w:r>
          </w:p>
        </w:tc>
        <w:tc>
          <w:tcPr>
            <w:tcW w:w="206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24"/>
                <w:sz w:val="28"/>
                <w:szCs w:val="28"/>
                <w:u w:val="none"/>
              </w:rPr>
              <w:t>82.37</w:t>
            </w:r>
          </w:p>
        </w:tc>
      </w:tr>
      <w:tr>
        <w:tblPrEx>
          <w:tblCellMar>
            <w:top w:w="0" w:type="dxa"/>
            <w:left w:w="0" w:type="dxa"/>
            <w:bottom w:w="0" w:type="dxa"/>
            <w:right w:w="0" w:type="dxa"/>
          </w:tblCellMar>
        </w:tblPrEx>
        <w:trPr>
          <w:trHeight w:val="510" w:hRule="exact"/>
          <w:jc w:val="center"/>
        </w:trPr>
        <w:tc>
          <w:tcPr>
            <w:tcW w:w="2472"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24"/>
                <w:sz w:val="28"/>
                <w:szCs w:val="28"/>
                <w:u w:val="none"/>
              </w:rPr>
              <w:t>2017-2018年</w:t>
            </w:r>
          </w:p>
        </w:tc>
        <w:tc>
          <w:tcPr>
            <w:tcW w:w="151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24"/>
                <w:sz w:val="28"/>
                <w:szCs w:val="28"/>
                <w:u w:val="none"/>
              </w:rPr>
              <w:t>67.15</w:t>
            </w:r>
          </w:p>
        </w:tc>
        <w:tc>
          <w:tcPr>
            <w:tcW w:w="1518"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24"/>
                <w:sz w:val="28"/>
                <w:szCs w:val="28"/>
                <w:u w:val="none"/>
              </w:rPr>
              <w:t>83.54</w:t>
            </w:r>
          </w:p>
        </w:tc>
        <w:tc>
          <w:tcPr>
            <w:tcW w:w="1300"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24"/>
                <w:sz w:val="28"/>
                <w:szCs w:val="28"/>
                <w:u w:val="none"/>
              </w:rPr>
              <w:t>40.63</w:t>
            </w:r>
          </w:p>
        </w:tc>
        <w:tc>
          <w:tcPr>
            <w:tcW w:w="2066" w:type="dxa"/>
            <w:tcBorders>
              <w:top w:val="single" w:color="auto" w:sz="4" w:space="0"/>
              <w:left w:val="single" w:color="auto" w:sz="4" w:space="0"/>
              <w:bottom w:val="single" w:color="auto" w:sz="4" w:space="0"/>
              <w:right w:val="single" w:color="auto" w:sz="4" w:space="0"/>
            </w:tcBorders>
            <w:shd w:val="clear" w:color="auto" w:fill="FFFFFF"/>
            <w:noWrap w:val="0"/>
            <w:tcMar>
              <w:top w:w="15" w:type="dxa"/>
              <w:left w:w="15" w:type="dxa"/>
              <w:right w:w="15"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jc w:val="center"/>
              <w:textAlignment w:val="center"/>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i w:val="0"/>
                <w:iCs w:val="0"/>
                <w:color w:val="000000"/>
                <w:kern w:val="24"/>
                <w:sz w:val="28"/>
                <w:szCs w:val="28"/>
                <w:u w:val="none"/>
              </w:rPr>
              <w:t>71.61</w:t>
            </w:r>
          </w:p>
        </w:tc>
      </w:tr>
    </w:tbl>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28"/>
          <w:szCs w:val="28"/>
          <w:lang w:eastAsia="zh-CN"/>
        </w:rPr>
      </w:pPr>
      <w:r>
        <w:rPr>
          <w:rFonts w:hint="default" w:ascii="Times New Roman" w:hAnsi="Times New Roman" w:eastAsia="仿宋_GB2312" w:cs="Times New Roman"/>
          <w:b/>
          <w:bCs/>
          <w:i w:val="0"/>
          <w:iCs w:val="0"/>
          <w:color w:val="000000"/>
          <w:kern w:val="24"/>
          <w:sz w:val="28"/>
          <w:szCs w:val="28"/>
          <w:u w:val="none"/>
          <w:lang w:val="en-US" w:eastAsia="zh-CN"/>
        </w:rPr>
        <w:t xml:space="preserve">表2  </w:t>
      </w:r>
      <w:r>
        <w:rPr>
          <w:rFonts w:hint="default" w:ascii="Times New Roman" w:hAnsi="Times New Roman" w:eastAsia="仿宋_GB2312" w:cs="Times New Roman"/>
          <w:b/>
          <w:bCs/>
          <w:i w:val="0"/>
          <w:iCs w:val="0"/>
          <w:color w:val="000000"/>
          <w:kern w:val="24"/>
          <w:sz w:val="28"/>
          <w:szCs w:val="28"/>
          <w:u w:val="none"/>
        </w:rPr>
        <w:t>2017-2020年各地市参评机构评分情况</w:t>
      </w:r>
    </w:p>
    <w:tbl>
      <w:tblPr>
        <w:tblStyle w:val="8"/>
        <w:tblW w:w="0" w:type="auto"/>
        <w:jc w:val="center"/>
        <w:tblLayout w:type="fixed"/>
        <w:tblCellMar>
          <w:top w:w="0" w:type="dxa"/>
          <w:left w:w="0" w:type="dxa"/>
          <w:bottom w:w="0" w:type="dxa"/>
          <w:right w:w="0" w:type="dxa"/>
        </w:tblCellMar>
      </w:tblPr>
      <w:tblGrid>
        <w:gridCol w:w="1216"/>
        <w:gridCol w:w="1100"/>
        <w:gridCol w:w="1546"/>
        <w:gridCol w:w="1100"/>
        <w:gridCol w:w="1546"/>
        <w:gridCol w:w="1100"/>
        <w:gridCol w:w="1276"/>
      </w:tblGrid>
      <w:tr>
        <w:tblPrEx>
          <w:tblCellMar>
            <w:top w:w="0" w:type="dxa"/>
            <w:left w:w="0" w:type="dxa"/>
            <w:bottom w:w="0" w:type="dxa"/>
            <w:right w:w="0" w:type="dxa"/>
          </w:tblCellMar>
        </w:tblPrEx>
        <w:trPr>
          <w:trHeight w:val="400" w:hRule="atLeast"/>
          <w:jc w:val="center"/>
        </w:trPr>
        <w:tc>
          <w:tcPr>
            <w:tcW w:w="1216" w:type="dxa"/>
            <w:vMerge w:val="restart"/>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b w:val="0"/>
                <w:bCs w:val="0"/>
                <w:i w:val="0"/>
                <w:iCs w:val="0"/>
                <w:color w:val="000000"/>
                <w:kern w:val="24"/>
                <w:sz w:val="28"/>
                <w:szCs w:val="28"/>
                <w:u w:val="none"/>
              </w:rPr>
              <w:t>地区</w:t>
            </w:r>
          </w:p>
        </w:tc>
        <w:tc>
          <w:tcPr>
            <w:tcW w:w="2646" w:type="dxa"/>
            <w:gridSpan w:val="2"/>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b w:val="0"/>
                <w:bCs w:val="0"/>
                <w:i w:val="0"/>
                <w:iCs w:val="0"/>
                <w:color w:val="000000"/>
                <w:kern w:val="24"/>
                <w:sz w:val="28"/>
                <w:szCs w:val="28"/>
                <w:u w:val="none"/>
              </w:rPr>
              <w:t>2017-2018年</w:t>
            </w:r>
          </w:p>
        </w:tc>
        <w:tc>
          <w:tcPr>
            <w:tcW w:w="2646" w:type="dxa"/>
            <w:gridSpan w:val="2"/>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b w:val="0"/>
                <w:bCs w:val="0"/>
                <w:i w:val="0"/>
                <w:iCs w:val="0"/>
                <w:color w:val="000000"/>
                <w:kern w:val="24"/>
                <w:sz w:val="28"/>
                <w:szCs w:val="28"/>
                <w:u w:val="none"/>
              </w:rPr>
              <w:t>2019年</w:t>
            </w:r>
          </w:p>
        </w:tc>
        <w:tc>
          <w:tcPr>
            <w:tcW w:w="2376" w:type="dxa"/>
            <w:gridSpan w:val="2"/>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b w:val="0"/>
                <w:bCs w:val="0"/>
                <w:i w:val="0"/>
                <w:iCs w:val="0"/>
                <w:color w:val="000000"/>
                <w:kern w:val="24"/>
                <w:sz w:val="28"/>
                <w:szCs w:val="28"/>
                <w:u w:val="none"/>
              </w:rPr>
              <w:t>2020年</w:t>
            </w:r>
          </w:p>
        </w:tc>
      </w:tr>
      <w:tr>
        <w:tblPrEx>
          <w:tblCellMar>
            <w:top w:w="0" w:type="dxa"/>
            <w:left w:w="0" w:type="dxa"/>
            <w:bottom w:w="0" w:type="dxa"/>
            <w:right w:w="0" w:type="dxa"/>
          </w:tblCellMar>
        </w:tblPrEx>
        <w:trPr>
          <w:trHeight w:val="681" w:hRule="atLeast"/>
          <w:jc w:val="center"/>
        </w:trPr>
        <w:tc>
          <w:tcPr>
            <w:tcW w:w="1216" w:type="dxa"/>
            <w:vMerge w:val="continue"/>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Times New Roman" w:hAnsi="Times New Roman" w:eastAsia="黑体" w:cs="Times New Roman"/>
                <w:i w:val="0"/>
                <w:iCs w:val="0"/>
                <w:color w:val="auto"/>
                <w:sz w:val="28"/>
                <w:szCs w:val="28"/>
                <w:u w:val="none"/>
              </w:rPr>
            </w:pP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b w:val="0"/>
                <w:bCs w:val="0"/>
                <w:i w:val="0"/>
                <w:iCs w:val="0"/>
                <w:color w:val="000000"/>
                <w:kern w:val="24"/>
                <w:sz w:val="28"/>
                <w:szCs w:val="28"/>
                <w:u w:val="none"/>
              </w:rPr>
              <w:t>参评机构数</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b w:val="0"/>
                <w:bCs w:val="0"/>
                <w:i w:val="0"/>
                <w:iCs w:val="0"/>
                <w:color w:val="000000"/>
                <w:kern w:val="24"/>
                <w:sz w:val="28"/>
                <w:szCs w:val="28"/>
                <w:u w:val="none"/>
              </w:rPr>
              <w:t>考核平均值</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b w:val="0"/>
                <w:bCs w:val="0"/>
                <w:i w:val="0"/>
                <w:iCs w:val="0"/>
                <w:color w:val="000000"/>
                <w:kern w:val="24"/>
                <w:sz w:val="28"/>
                <w:szCs w:val="28"/>
                <w:u w:val="none"/>
              </w:rPr>
              <w:t>参评机构数</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b w:val="0"/>
                <w:bCs w:val="0"/>
                <w:i w:val="0"/>
                <w:iCs w:val="0"/>
                <w:color w:val="000000"/>
                <w:kern w:val="24"/>
                <w:sz w:val="28"/>
                <w:szCs w:val="28"/>
                <w:u w:val="none"/>
              </w:rPr>
              <w:t>考核平均值</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b w:val="0"/>
                <w:bCs w:val="0"/>
                <w:i w:val="0"/>
                <w:iCs w:val="0"/>
                <w:color w:val="000000"/>
                <w:kern w:val="24"/>
                <w:sz w:val="28"/>
                <w:szCs w:val="28"/>
                <w:u w:val="none"/>
              </w:rPr>
              <w:t>参评机构数</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b w:val="0"/>
                <w:bCs w:val="0"/>
                <w:i w:val="0"/>
                <w:iCs w:val="0"/>
                <w:color w:val="000000"/>
                <w:kern w:val="24"/>
                <w:sz w:val="28"/>
                <w:szCs w:val="28"/>
                <w:u w:val="none"/>
              </w:rPr>
              <w:t>2020年考核平均值</w:t>
            </w:r>
          </w:p>
        </w:tc>
      </w:tr>
      <w:tr>
        <w:tblPrEx>
          <w:tblCellMar>
            <w:top w:w="0" w:type="dxa"/>
            <w:left w:w="0" w:type="dxa"/>
            <w:bottom w:w="0" w:type="dxa"/>
            <w:right w:w="0" w:type="dxa"/>
          </w:tblCellMar>
        </w:tblPrEx>
        <w:trPr>
          <w:trHeight w:val="401"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广东省</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76</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68.00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77</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77.95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80</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68.96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广州市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21</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69.22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81.89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22</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66.87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深圳市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8</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68.77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10</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82.74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10</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68.33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珠海市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69.58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86.45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71.83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汕头市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4</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69.50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3</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60.93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4</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61.02 </w:t>
            </w:r>
          </w:p>
        </w:tc>
      </w:tr>
      <w:tr>
        <w:tblPrEx>
          <w:tblCellMar>
            <w:top w:w="0" w:type="dxa"/>
            <w:left w:w="0" w:type="dxa"/>
            <w:bottom w:w="0" w:type="dxa"/>
            <w:right w:w="0" w:type="dxa"/>
          </w:tblCellMar>
        </w:tblPrEx>
        <w:trPr>
          <w:trHeight w:val="401"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佛山市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5</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74.41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5</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81.17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5</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70.22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韶关市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71.40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68.93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63.00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河源市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70.69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45.22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77.69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梅州市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66.32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88.34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74.78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惠州市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3</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68.32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3</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84.87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3</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73.15 </w:t>
            </w:r>
          </w:p>
        </w:tc>
      </w:tr>
      <w:tr>
        <w:tblPrEx>
          <w:tblCellMar>
            <w:top w:w="0" w:type="dxa"/>
            <w:left w:w="0" w:type="dxa"/>
            <w:bottom w:w="0" w:type="dxa"/>
            <w:right w:w="0" w:type="dxa"/>
          </w:tblCellMar>
        </w:tblPrEx>
        <w:trPr>
          <w:trHeight w:val="401"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汕尾市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88.17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65.98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东莞市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6</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67.81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6</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81.47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6</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71.57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中山市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70.84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77.14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66.38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江门市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64.93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75.69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46.23 </w:t>
            </w:r>
          </w:p>
        </w:tc>
      </w:tr>
      <w:tr>
        <w:tblPrEx>
          <w:tblCellMar>
            <w:top w:w="0" w:type="dxa"/>
            <w:left w:w="0" w:type="dxa"/>
            <w:bottom w:w="0" w:type="dxa"/>
            <w:right w:w="0" w:type="dxa"/>
          </w:tblCellMar>
        </w:tblPrEx>
        <w:trPr>
          <w:trHeight w:val="401"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阳江市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67.31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69.65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65.90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湛江市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5</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58.75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5</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65.45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5</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72.54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茂名市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3</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72.33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3</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87.30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3</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76.79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肇庆市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76.17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39.22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73.60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清远市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73.19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86.02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70.30 </w:t>
            </w:r>
          </w:p>
        </w:tc>
      </w:tr>
      <w:tr>
        <w:tblPrEx>
          <w:tblCellMar>
            <w:top w:w="0" w:type="dxa"/>
            <w:left w:w="0" w:type="dxa"/>
            <w:bottom w:w="0" w:type="dxa"/>
            <w:right w:w="0" w:type="dxa"/>
          </w:tblCellMar>
        </w:tblPrEx>
        <w:trPr>
          <w:trHeight w:val="401"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潮州市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75.99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80.03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63.11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揭阳市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69.61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89.38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82.81 </w:t>
            </w:r>
          </w:p>
        </w:tc>
      </w:tr>
      <w:tr>
        <w:tblPrEx>
          <w:tblCellMar>
            <w:top w:w="0" w:type="dxa"/>
            <w:left w:w="0" w:type="dxa"/>
            <w:bottom w:w="0" w:type="dxa"/>
            <w:right w:w="0" w:type="dxa"/>
          </w:tblCellMar>
        </w:tblPrEx>
        <w:trPr>
          <w:trHeight w:val="400" w:hRule="atLeast"/>
          <w:jc w:val="center"/>
        </w:trPr>
        <w:tc>
          <w:tcPr>
            <w:tcW w:w="121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云浮市</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62.02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54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85.90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2</w:t>
            </w:r>
          </w:p>
        </w:tc>
        <w:tc>
          <w:tcPr>
            <w:tcW w:w="127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76.12 </w:t>
            </w:r>
          </w:p>
        </w:tc>
      </w:tr>
    </w:tbl>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i w:val="0"/>
          <w:iCs w:val="0"/>
          <w:color w:val="000000"/>
          <w:kern w:val="24"/>
          <w:sz w:val="28"/>
          <w:szCs w:val="28"/>
          <w:u w:val="none"/>
          <w:lang w:val="en-US" w:eastAsia="zh-CN"/>
        </w:rPr>
        <w:t xml:space="preserve">表3  </w:t>
      </w:r>
      <w:r>
        <w:rPr>
          <w:rFonts w:hint="default" w:ascii="Times New Roman" w:hAnsi="Times New Roman" w:eastAsia="仿宋_GB2312" w:cs="Times New Roman"/>
          <w:b/>
          <w:bCs/>
          <w:i w:val="0"/>
          <w:iCs w:val="0"/>
          <w:color w:val="000000"/>
          <w:kern w:val="24"/>
          <w:sz w:val="28"/>
          <w:szCs w:val="28"/>
          <w:u w:val="none"/>
        </w:rPr>
        <w:t>2017-2020年各管理类别参评机构评分情况</w:t>
      </w:r>
    </w:p>
    <w:tbl>
      <w:tblPr>
        <w:tblStyle w:val="8"/>
        <w:tblW w:w="0" w:type="auto"/>
        <w:jc w:val="center"/>
        <w:tblLayout w:type="fixed"/>
        <w:tblCellMar>
          <w:top w:w="0" w:type="dxa"/>
          <w:left w:w="0" w:type="dxa"/>
          <w:bottom w:w="0" w:type="dxa"/>
          <w:right w:w="0" w:type="dxa"/>
        </w:tblCellMar>
      </w:tblPr>
      <w:tblGrid>
        <w:gridCol w:w="1221"/>
        <w:gridCol w:w="1100"/>
        <w:gridCol w:w="1549"/>
        <w:gridCol w:w="1100"/>
        <w:gridCol w:w="1548"/>
        <w:gridCol w:w="1101"/>
        <w:gridCol w:w="1265"/>
      </w:tblGrid>
      <w:tr>
        <w:tblPrEx>
          <w:tblCellMar>
            <w:top w:w="0" w:type="dxa"/>
            <w:left w:w="0" w:type="dxa"/>
            <w:bottom w:w="0" w:type="dxa"/>
            <w:right w:w="0" w:type="dxa"/>
          </w:tblCellMar>
        </w:tblPrEx>
        <w:trPr>
          <w:trHeight w:val="380" w:hRule="atLeast"/>
          <w:jc w:val="center"/>
        </w:trPr>
        <w:tc>
          <w:tcPr>
            <w:tcW w:w="1221" w:type="dxa"/>
            <w:vMerge w:val="restart"/>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机构管理类别</w:t>
            </w:r>
          </w:p>
        </w:tc>
        <w:tc>
          <w:tcPr>
            <w:tcW w:w="2649" w:type="dxa"/>
            <w:gridSpan w:val="2"/>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2017-2018年</w:t>
            </w:r>
          </w:p>
        </w:tc>
        <w:tc>
          <w:tcPr>
            <w:tcW w:w="2648" w:type="dxa"/>
            <w:gridSpan w:val="2"/>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2019年</w:t>
            </w:r>
          </w:p>
        </w:tc>
        <w:tc>
          <w:tcPr>
            <w:tcW w:w="2366" w:type="dxa"/>
            <w:gridSpan w:val="2"/>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2020年</w:t>
            </w:r>
          </w:p>
        </w:tc>
      </w:tr>
      <w:tr>
        <w:tblPrEx>
          <w:tblCellMar>
            <w:top w:w="0" w:type="dxa"/>
            <w:left w:w="0" w:type="dxa"/>
            <w:bottom w:w="0" w:type="dxa"/>
            <w:right w:w="0" w:type="dxa"/>
          </w:tblCellMar>
        </w:tblPrEx>
        <w:trPr>
          <w:trHeight w:val="668" w:hRule="atLeast"/>
          <w:jc w:val="center"/>
        </w:trPr>
        <w:tc>
          <w:tcPr>
            <w:tcW w:w="1221" w:type="dxa"/>
            <w:vMerge w:val="continue"/>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参评机构数</w:t>
            </w:r>
          </w:p>
        </w:tc>
        <w:tc>
          <w:tcPr>
            <w:tcW w:w="1549"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考核平均值</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参评机构数</w:t>
            </w:r>
          </w:p>
        </w:tc>
        <w:tc>
          <w:tcPr>
            <w:tcW w:w="1548"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考核平均值</w:t>
            </w:r>
          </w:p>
        </w:tc>
        <w:tc>
          <w:tcPr>
            <w:tcW w:w="1101"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参评机构数</w:t>
            </w:r>
          </w:p>
        </w:tc>
        <w:tc>
          <w:tcPr>
            <w:tcW w:w="1265"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2020年考核平均值</w:t>
            </w:r>
          </w:p>
        </w:tc>
      </w:tr>
      <w:tr>
        <w:tblPrEx>
          <w:tblCellMar>
            <w:top w:w="0" w:type="dxa"/>
            <w:left w:w="0" w:type="dxa"/>
            <w:bottom w:w="0" w:type="dxa"/>
            <w:right w:w="0" w:type="dxa"/>
          </w:tblCellMar>
        </w:tblPrEx>
        <w:trPr>
          <w:trHeight w:val="624" w:hRule="atLeast"/>
          <w:jc w:val="center"/>
        </w:trPr>
        <w:tc>
          <w:tcPr>
            <w:tcW w:w="1221"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委（局）属医院</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7</w:t>
            </w:r>
          </w:p>
        </w:tc>
        <w:tc>
          <w:tcPr>
            <w:tcW w:w="1549"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72.43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7</w:t>
            </w:r>
          </w:p>
        </w:tc>
        <w:tc>
          <w:tcPr>
            <w:tcW w:w="1548"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82.66 </w:t>
            </w:r>
          </w:p>
        </w:tc>
        <w:tc>
          <w:tcPr>
            <w:tcW w:w="1101"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7</w:t>
            </w:r>
          </w:p>
        </w:tc>
        <w:tc>
          <w:tcPr>
            <w:tcW w:w="1265"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68.34 </w:t>
            </w:r>
          </w:p>
        </w:tc>
      </w:tr>
      <w:tr>
        <w:tblPrEx>
          <w:tblCellMar>
            <w:top w:w="0" w:type="dxa"/>
            <w:left w:w="0" w:type="dxa"/>
            <w:bottom w:w="0" w:type="dxa"/>
            <w:right w:w="0" w:type="dxa"/>
          </w:tblCellMar>
        </w:tblPrEx>
        <w:trPr>
          <w:trHeight w:val="624" w:hRule="atLeast"/>
          <w:jc w:val="center"/>
        </w:trPr>
        <w:tc>
          <w:tcPr>
            <w:tcW w:w="1221"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省级</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14</w:t>
            </w:r>
          </w:p>
        </w:tc>
        <w:tc>
          <w:tcPr>
            <w:tcW w:w="1549"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67.24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14</w:t>
            </w:r>
          </w:p>
        </w:tc>
        <w:tc>
          <w:tcPr>
            <w:tcW w:w="1548"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76.67 </w:t>
            </w:r>
          </w:p>
        </w:tc>
        <w:tc>
          <w:tcPr>
            <w:tcW w:w="1101"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15</w:t>
            </w:r>
          </w:p>
        </w:tc>
        <w:tc>
          <w:tcPr>
            <w:tcW w:w="1265"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65.82 </w:t>
            </w:r>
          </w:p>
        </w:tc>
      </w:tr>
      <w:tr>
        <w:tblPrEx>
          <w:tblCellMar>
            <w:top w:w="0" w:type="dxa"/>
            <w:left w:w="0" w:type="dxa"/>
            <w:bottom w:w="0" w:type="dxa"/>
            <w:right w:w="0" w:type="dxa"/>
          </w:tblCellMar>
        </w:tblPrEx>
        <w:trPr>
          <w:trHeight w:val="624" w:hRule="atLeast"/>
          <w:jc w:val="center"/>
        </w:trPr>
        <w:tc>
          <w:tcPr>
            <w:tcW w:w="1221"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地(市)级</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35</w:t>
            </w:r>
          </w:p>
        </w:tc>
        <w:tc>
          <w:tcPr>
            <w:tcW w:w="1549"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66.99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33</w:t>
            </w:r>
          </w:p>
        </w:tc>
        <w:tc>
          <w:tcPr>
            <w:tcW w:w="1548"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75.10 </w:t>
            </w:r>
          </w:p>
        </w:tc>
        <w:tc>
          <w:tcPr>
            <w:tcW w:w="1101"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35</w:t>
            </w:r>
          </w:p>
        </w:tc>
        <w:tc>
          <w:tcPr>
            <w:tcW w:w="1265"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69.46 </w:t>
            </w:r>
          </w:p>
        </w:tc>
      </w:tr>
      <w:tr>
        <w:tblPrEx>
          <w:tblCellMar>
            <w:top w:w="0" w:type="dxa"/>
            <w:left w:w="0" w:type="dxa"/>
            <w:bottom w:w="0" w:type="dxa"/>
            <w:right w:w="0" w:type="dxa"/>
          </w:tblCellMar>
        </w:tblPrEx>
        <w:trPr>
          <w:trHeight w:val="624" w:hRule="atLeast"/>
          <w:jc w:val="center"/>
        </w:trPr>
        <w:tc>
          <w:tcPr>
            <w:tcW w:w="1221"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区级</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10</w:t>
            </w:r>
          </w:p>
        </w:tc>
        <w:tc>
          <w:tcPr>
            <w:tcW w:w="1549"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65.18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13</w:t>
            </w:r>
          </w:p>
        </w:tc>
        <w:tc>
          <w:tcPr>
            <w:tcW w:w="1548"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81.28 </w:t>
            </w:r>
          </w:p>
        </w:tc>
        <w:tc>
          <w:tcPr>
            <w:tcW w:w="1101"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13</w:t>
            </w:r>
          </w:p>
        </w:tc>
        <w:tc>
          <w:tcPr>
            <w:tcW w:w="1265"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65.14 </w:t>
            </w:r>
          </w:p>
        </w:tc>
      </w:tr>
      <w:tr>
        <w:tblPrEx>
          <w:tblCellMar>
            <w:top w:w="0" w:type="dxa"/>
            <w:left w:w="0" w:type="dxa"/>
            <w:bottom w:w="0" w:type="dxa"/>
            <w:right w:w="0" w:type="dxa"/>
          </w:tblCellMar>
        </w:tblPrEx>
        <w:trPr>
          <w:trHeight w:val="624" w:hRule="atLeast"/>
          <w:jc w:val="center"/>
        </w:trPr>
        <w:tc>
          <w:tcPr>
            <w:tcW w:w="1221"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县(市)级</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10</w:t>
            </w:r>
          </w:p>
        </w:tc>
        <w:tc>
          <w:tcPr>
            <w:tcW w:w="1549"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72.79 </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10</w:t>
            </w:r>
          </w:p>
        </w:tc>
        <w:tc>
          <w:tcPr>
            <w:tcW w:w="1548"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82.51 </w:t>
            </w:r>
          </w:p>
        </w:tc>
        <w:tc>
          <w:tcPr>
            <w:tcW w:w="1101"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10</w:t>
            </w:r>
          </w:p>
        </w:tc>
        <w:tc>
          <w:tcPr>
            <w:tcW w:w="1265"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firstLine="0"/>
              <w:jc w:val="center"/>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 xml:space="preserve">77.31 </w:t>
            </w:r>
          </w:p>
        </w:tc>
      </w:tr>
    </w:tbl>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i w:val="0"/>
          <w:iCs w:val="0"/>
          <w:color w:val="000000"/>
          <w:kern w:val="24"/>
          <w:sz w:val="28"/>
          <w:szCs w:val="28"/>
          <w:u w:val="none"/>
          <w:lang w:val="en-US" w:eastAsia="zh-CN"/>
        </w:rPr>
        <w:t xml:space="preserve">表4  </w:t>
      </w:r>
      <w:r>
        <w:rPr>
          <w:rFonts w:hint="default" w:ascii="Times New Roman" w:hAnsi="Times New Roman" w:eastAsia="仿宋_GB2312" w:cs="Times New Roman"/>
          <w:b/>
          <w:bCs/>
          <w:i w:val="0"/>
          <w:iCs w:val="0"/>
          <w:color w:val="000000"/>
          <w:kern w:val="24"/>
          <w:sz w:val="28"/>
          <w:szCs w:val="28"/>
          <w:u w:val="none"/>
        </w:rPr>
        <w:t>2017-2020年各专科类型参评机构评分情况</w:t>
      </w:r>
    </w:p>
    <w:tbl>
      <w:tblPr>
        <w:tblStyle w:val="8"/>
        <w:tblW w:w="0" w:type="auto"/>
        <w:jc w:val="center"/>
        <w:tblLayout w:type="fixed"/>
        <w:tblCellMar>
          <w:top w:w="0" w:type="dxa"/>
          <w:left w:w="0" w:type="dxa"/>
          <w:bottom w:w="0" w:type="dxa"/>
          <w:right w:w="0" w:type="dxa"/>
        </w:tblCellMar>
      </w:tblPr>
      <w:tblGrid>
        <w:gridCol w:w="1569"/>
        <w:gridCol w:w="958"/>
        <w:gridCol w:w="1344"/>
        <w:gridCol w:w="1100"/>
        <w:gridCol w:w="1549"/>
        <w:gridCol w:w="1100"/>
        <w:gridCol w:w="1264"/>
      </w:tblGrid>
      <w:tr>
        <w:tblPrEx>
          <w:tblCellMar>
            <w:top w:w="0" w:type="dxa"/>
            <w:left w:w="0" w:type="dxa"/>
            <w:bottom w:w="0" w:type="dxa"/>
            <w:right w:w="0" w:type="dxa"/>
          </w:tblCellMar>
        </w:tblPrEx>
        <w:trPr>
          <w:trHeight w:val="415" w:hRule="atLeast"/>
          <w:jc w:val="center"/>
        </w:trPr>
        <w:tc>
          <w:tcPr>
            <w:tcW w:w="1569" w:type="dxa"/>
            <w:vMerge w:val="restart"/>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机构专科</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类型</w:t>
            </w:r>
          </w:p>
        </w:tc>
        <w:tc>
          <w:tcPr>
            <w:tcW w:w="2302" w:type="dxa"/>
            <w:gridSpan w:val="2"/>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2017-2018年</w:t>
            </w:r>
          </w:p>
        </w:tc>
        <w:tc>
          <w:tcPr>
            <w:tcW w:w="2649" w:type="dxa"/>
            <w:gridSpan w:val="2"/>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2019年</w:t>
            </w:r>
          </w:p>
        </w:tc>
        <w:tc>
          <w:tcPr>
            <w:tcW w:w="2364" w:type="dxa"/>
            <w:gridSpan w:val="2"/>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2020年</w:t>
            </w:r>
          </w:p>
        </w:tc>
      </w:tr>
      <w:tr>
        <w:tblPrEx>
          <w:tblCellMar>
            <w:top w:w="0" w:type="dxa"/>
            <w:left w:w="0" w:type="dxa"/>
            <w:bottom w:w="0" w:type="dxa"/>
            <w:right w:w="0" w:type="dxa"/>
          </w:tblCellMar>
        </w:tblPrEx>
        <w:trPr>
          <w:trHeight w:val="807" w:hRule="atLeast"/>
          <w:jc w:val="center"/>
        </w:trPr>
        <w:tc>
          <w:tcPr>
            <w:tcW w:w="1569" w:type="dxa"/>
            <w:vMerge w:val="continue"/>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p>
        </w:tc>
        <w:tc>
          <w:tcPr>
            <w:tcW w:w="958"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参评机构数</w:t>
            </w:r>
          </w:p>
        </w:tc>
        <w:tc>
          <w:tcPr>
            <w:tcW w:w="1344"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考核平均值</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参评机构数</w:t>
            </w:r>
          </w:p>
        </w:tc>
        <w:tc>
          <w:tcPr>
            <w:tcW w:w="1549"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考核平均值</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参评机构数</w:t>
            </w:r>
          </w:p>
        </w:tc>
        <w:tc>
          <w:tcPr>
            <w:tcW w:w="1264"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2020年考核平均值</w:t>
            </w:r>
          </w:p>
        </w:tc>
      </w:tr>
      <w:tr>
        <w:tblPrEx>
          <w:tblCellMar>
            <w:top w:w="0" w:type="dxa"/>
            <w:left w:w="0" w:type="dxa"/>
            <w:bottom w:w="0" w:type="dxa"/>
            <w:right w:w="0" w:type="dxa"/>
          </w:tblCellMar>
        </w:tblPrEx>
        <w:trPr>
          <w:trHeight w:val="567" w:hRule="exact"/>
          <w:jc w:val="center"/>
        </w:trPr>
        <w:tc>
          <w:tcPr>
            <w:tcW w:w="1569"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综合医院</w:t>
            </w:r>
          </w:p>
        </w:tc>
        <w:tc>
          <w:tcPr>
            <w:tcW w:w="958"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58</w:t>
            </w:r>
          </w:p>
        </w:tc>
        <w:tc>
          <w:tcPr>
            <w:tcW w:w="1344"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66.02</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58</w:t>
            </w:r>
          </w:p>
        </w:tc>
        <w:tc>
          <w:tcPr>
            <w:tcW w:w="1549"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76.46</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61</w:t>
            </w:r>
          </w:p>
        </w:tc>
        <w:tc>
          <w:tcPr>
            <w:tcW w:w="1264"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69.04</w:t>
            </w:r>
          </w:p>
        </w:tc>
      </w:tr>
      <w:tr>
        <w:tblPrEx>
          <w:tblCellMar>
            <w:top w:w="0" w:type="dxa"/>
            <w:left w:w="0" w:type="dxa"/>
            <w:bottom w:w="0" w:type="dxa"/>
            <w:right w:w="0" w:type="dxa"/>
          </w:tblCellMar>
        </w:tblPrEx>
        <w:trPr>
          <w:trHeight w:val="567" w:hRule="exact"/>
          <w:jc w:val="center"/>
        </w:trPr>
        <w:tc>
          <w:tcPr>
            <w:tcW w:w="1569"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中医医院</w:t>
            </w:r>
          </w:p>
        </w:tc>
        <w:tc>
          <w:tcPr>
            <w:tcW w:w="958"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7</w:t>
            </w:r>
          </w:p>
        </w:tc>
        <w:tc>
          <w:tcPr>
            <w:tcW w:w="1344"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70.17</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7</w:t>
            </w:r>
          </w:p>
        </w:tc>
        <w:tc>
          <w:tcPr>
            <w:tcW w:w="1549"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81.12</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7</w:t>
            </w:r>
          </w:p>
        </w:tc>
        <w:tc>
          <w:tcPr>
            <w:tcW w:w="1264"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72.21</w:t>
            </w:r>
          </w:p>
        </w:tc>
      </w:tr>
      <w:tr>
        <w:tblPrEx>
          <w:tblCellMar>
            <w:top w:w="0" w:type="dxa"/>
            <w:left w:w="0" w:type="dxa"/>
            <w:bottom w:w="0" w:type="dxa"/>
            <w:right w:w="0" w:type="dxa"/>
          </w:tblCellMar>
        </w:tblPrEx>
        <w:trPr>
          <w:trHeight w:val="567" w:hRule="exact"/>
          <w:jc w:val="center"/>
        </w:trPr>
        <w:tc>
          <w:tcPr>
            <w:tcW w:w="1569"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妇幼保健院</w:t>
            </w:r>
          </w:p>
        </w:tc>
        <w:tc>
          <w:tcPr>
            <w:tcW w:w="958"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5</w:t>
            </w:r>
          </w:p>
        </w:tc>
        <w:tc>
          <w:tcPr>
            <w:tcW w:w="1344"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74.82</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6</w:t>
            </w:r>
          </w:p>
        </w:tc>
        <w:tc>
          <w:tcPr>
            <w:tcW w:w="1549"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82.47</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6</w:t>
            </w:r>
          </w:p>
        </w:tc>
        <w:tc>
          <w:tcPr>
            <w:tcW w:w="1264"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68.32</w:t>
            </w:r>
          </w:p>
        </w:tc>
      </w:tr>
      <w:tr>
        <w:tblPrEx>
          <w:tblCellMar>
            <w:top w:w="0" w:type="dxa"/>
            <w:left w:w="0" w:type="dxa"/>
            <w:bottom w:w="0" w:type="dxa"/>
            <w:right w:w="0" w:type="dxa"/>
          </w:tblCellMar>
        </w:tblPrEx>
        <w:trPr>
          <w:trHeight w:val="567" w:hRule="exact"/>
          <w:jc w:val="center"/>
        </w:trPr>
        <w:tc>
          <w:tcPr>
            <w:tcW w:w="1569"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专科医院</w:t>
            </w:r>
          </w:p>
        </w:tc>
        <w:tc>
          <w:tcPr>
            <w:tcW w:w="958"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28"/>
                <w:szCs w:val="28"/>
              </w:rPr>
            </w:pPr>
            <w:r>
              <w:rPr>
                <w:rFonts w:hint="default" w:ascii="Times New Roman" w:hAnsi="Times New Roman" w:eastAsia="仿宋_GB2312" w:cs="Times New Roman"/>
                <w:b w:val="0"/>
                <w:bCs w:val="0"/>
                <w:i w:val="0"/>
                <w:iCs w:val="0"/>
                <w:color w:val="000000"/>
                <w:kern w:val="24"/>
                <w:sz w:val="28"/>
                <w:szCs w:val="28"/>
                <w:u w:val="none"/>
              </w:rPr>
              <w:t>6</w:t>
            </w:r>
          </w:p>
        </w:tc>
        <w:tc>
          <w:tcPr>
            <w:tcW w:w="1344"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79.91</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6</w:t>
            </w:r>
          </w:p>
        </w:tc>
        <w:tc>
          <w:tcPr>
            <w:tcW w:w="1549"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85.23</w:t>
            </w:r>
          </w:p>
        </w:tc>
        <w:tc>
          <w:tcPr>
            <w:tcW w:w="1100"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6</w:t>
            </w:r>
          </w:p>
        </w:tc>
        <w:tc>
          <w:tcPr>
            <w:tcW w:w="1264"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b w:val="0"/>
                <w:bCs w:val="0"/>
                <w:i w:val="0"/>
                <w:iCs w:val="0"/>
                <w:color w:val="auto"/>
                <w:kern w:val="24"/>
                <w:sz w:val="28"/>
                <w:szCs w:val="28"/>
                <w:u w:val="none"/>
              </w:rPr>
            </w:pPr>
            <w:r>
              <w:rPr>
                <w:rFonts w:hint="default" w:ascii="Times New Roman" w:hAnsi="Times New Roman" w:eastAsia="仿宋_GB2312" w:cs="Times New Roman"/>
                <w:b w:val="0"/>
                <w:bCs w:val="0"/>
                <w:i w:val="0"/>
                <w:iCs w:val="0"/>
                <w:color w:val="auto"/>
                <w:kern w:val="24"/>
                <w:sz w:val="28"/>
                <w:szCs w:val="28"/>
                <w:u w:val="none"/>
              </w:rPr>
              <w:t>64.95</w:t>
            </w:r>
          </w:p>
        </w:tc>
      </w:tr>
    </w:tbl>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sz w:val="28"/>
          <w:szCs w:val="28"/>
          <w:lang w:eastAsia="zh-CN"/>
        </w:rPr>
      </w:pPr>
      <w:r>
        <w:rPr>
          <w:rFonts w:hint="default" w:ascii="Times New Roman" w:hAnsi="Times New Roman" w:eastAsia="仿宋_GB2312" w:cs="Times New Roman"/>
          <w:b/>
          <w:bCs/>
          <w:i w:val="0"/>
          <w:iCs w:val="0"/>
          <w:color w:val="000000"/>
          <w:kern w:val="24"/>
          <w:sz w:val="28"/>
          <w:szCs w:val="28"/>
          <w:u w:val="none"/>
          <w:lang w:val="en-US" w:eastAsia="zh-CN"/>
        </w:rPr>
        <w:t xml:space="preserve">表5  </w:t>
      </w:r>
      <w:r>
        <w:rPr>
          <w:rFonts w:hint="default" w:ascii="Times New Roman" w:hAnsi="Times New Roman" w:eastAsia="仿宋_GB2312" w:cs="Times New Roman"/>
          <w:b/>
          <w:bCs/>
          <w:i w:val="0"/>
          <w:iCs w:val="0"/>
          <w:color w:val="000000"/>
          <w:kern w:val="24"/>
          <w:sz w:val="28"/>
          <w:szCs w:val="28"/>
          <w:u w:val="none"/>
        </w:rPr>
        <w:t>2017-2020年各等级参评机构评分情况</w:t>
      </w:r>
    </w:p>
    <w:tbl>
      <w:tblPr>
        <w:tblStyle w:val="8"/>
        <w:tblW w:w="0" w:type="auto"/>
        <w:jc w:val="center"/>
        <w:tblLayout w:type="fixed"/>
        <w:tblCellMar>
          <w:top w:w="0" w:type="dxa"/>
          <w:left w:w="0" w:type="dxa"/>
          <w:bottom w:w="0" w:type="dxa"/>
          <w:right w:w="0" w:type="dxa"/>
        </w:tblCellMar>
      </w:tblPr>
      <w:tblGrid>
        <w:gridCol w:w="1206"/>
        <w:gridCol w:w="1086"/>
        <w:gridCol w:w="1556"/>
        <w:gridCol w:w="1086"/>
        <w:gridCol w:w="1552"/>
        <w:gridCol w:w="1086"/>
        <w:gridCol w:w="1312"/>
      </w:tblGrid>
      <w:tr>
        <w:tblPrEx>
          <w:tblCellMar>
            <w:top w:w="0" w:type="dxa"/>
            <w:left w:w="0" w:type="dxa"/>
            <w:bottom w:w="0" w:type="dxa"/>
            <w:right w:w="0" w:type="dxa"/>
          </w:tblCellMar>
        </w:tblPrEx>
        <w:trPr>
          <w:trHeight w:val="444" w:hRule="atLeast"/>
          <w:jc w:val="center"/>
        </w:trPr>
        <w:tc>
          <w:tcPr>
            <w:tcW w:w="1206" w:type="dxa"/>
            <w:vMerge w:val="restart"/>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机构等级</w:t>
            </w:r>
          </w:p>
        </w:tc>
        <w:tc>
          <w:tcPr>
            <w:tcW w:w="2642" w:type="dxa"/>
            <w:gridSpan w:val="2"/>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2017-2018年</w:t>
            </w:r>
          </w:p>
        </w:tc>
        <w:tc>
          <w:tcPr>
            <w:tcW w:w="2638" w:type="dxa"/>
            <w:gridSpan w:val="2"/>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2019年</w:t>
            </w:r>
          </w:p>
        </w:tc>
        <w:tc>
          <w:tcPr>
            <w:tcW w:w="2398" w:type="dxa"/>
            <w:gridSpan w:val="2"/>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2020年</w:t>
            </w:r>
          </w:p>
        </w:tc>
      </w:tr>
      <w:tr>
        <w:tblPrEx>
          <w:tblCellMar>
            <w:top w:w="0" w:type="dxa"/>
            <w:left w:w="0" w:type="dxa"/>
            <w:bottom w:w="0" w:type="dxa"/>
            <w:right w:w="0" w:type="dxa"/>
          </w:tblCellMar>
        </w:tblPrEx>
        <w:trPr>
          <w:trHeight w:val="781" w:hRule="atLeast"/>
          <w:jc w:val="center"/>
        </w:trPr>
        <w:tc>
          <w:tcPr>
            <w:tcW w:w="1206" w:type="dxa"/>
            <w:vMerge w:val="continue"/>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p>
        </w:tc>
        <w:tc>
          <w:tcPr>
            <w:tcW w:w="108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参评机构数</w:t>
            </w:r>
          </w:p>
        </w:tc>
        <w:tc>
          <w:tcPr>
            <w:tcW w:w="155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考核平均值</w:t>
            </w:r>
          </w:p>
        </w:tc>
        <w:tc>
          <w:tcPr>
            <w:tcW w:w="108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参评机构数</w:t>
            </w:r>
          </w:p>
        </w:tc>
        <w:tc>
          <w:tcPr>
            <w:tcW w:w="1552"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考核平均值</w:t>
            </w:r>
          </w:p>
        </w:tc>
        <w:tc>
          <w:tcPr>
            <w:tcW w:w="108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参评机构数</w:t>
            </w:r>
          </w:p>
        </w:tc>
        <w:tc>
          <w:tcPr>
            <w:tcW w:w="1312"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0" w:firstLine="0"/>
              <w:jc w:val="center"/>
              <w:textAlignment w:val="auto"/>
              <w:rPr>
                <w:rFonts w:hint="default" w:ascii="Times New Roman" w:hAnsi="Times New Roman" w:eastAsia="黑体" w:cs="Times New Roman"/>
                <w:b w:val="0"/>
                <w:bCs w:val="0"/>
                <w:i w:val="0"/>
                <w:iCs w:val="0"/>
                <w:color w:val="000000"/>
                <w:kern w:val="24"/>
                <w:sz w:val="28"/>
                <w:szCs w:val="28"/>
                <w:u w:val="none"/>
              </w:rPr>
            </w:pPr>
            <w:r>
              <w:rPr>
                <w:rFonts w:hint="default" w:ascii="Times New Roman" w:hAnsi="Times New Roman" w:eastAsia="黑体" w:cs="Times New Roman"/>
                <w:b w:val="0"/>
                <w:bCs w:val="0"/>
                <w:i w:val="0"/>
                <w:iCs w:val="0"/>
                <w:color w:val="000000"/>
                <w:kern w:val="24"/>
                <w:sz w:val="28"/>
                <w:szCs w:val="28"/>
                <w:u w:val="none"/>
              </w:rPr>
              <w:t>2020年考核平均值</w:t>
            </w:r>
          </w:p>
        </w:tc>
      </w:tr>
      <w:tr>
        <w:tblPrEx>
          <w:tblCellMar>
            <w:top w:w="0" w:type="dxa"/>
            <w:left w:w="0" w:type="dxa"/>
            <w:bottom w:w="0" w:type="dxa"/>
            <w:right w:w="0" w:type="dxa"/>
          </w:tblCellMar>
        </w:tblPrEx>
        <w:trPr>
          <w:trHeight w:val="567" w:hRule="exact"/>
          <w:jc w:val="center"/>
        </w:trPr>
        <w:tc>
          <w:tcPr>
            <w:tcW w:w="120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olor w:val="000000"/>
                <w:kern w:val="24"/>
                <w:sz w:val="32"/>
                <w:szCs w:val="32"/>
                <w:u w:val="none"/>
              </w:rPr>
              <w:t>三级</w:t>
            </w:r>
          </w:p>
        </w:tc>
        <w:tc>
          <w:tcPr>
            <w:tcW w:w="108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olor w:val="000000"/>
                <w:kern w:val="24"/>
                <w:sz w:val="32"/>
                <w:szCs w:val="32"/>
                <w:u w:val="none"/>
              </w:rPr>
              <w:t>66</w:t>
            </w:r>
          </w:p>
        </w:tc>
        <w:tc>
          <w:tcPr>
            <w:tcW w:w="155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olor w:val="000000"/>
                <w:kern w:val="24"/>
                <w:sz w:val="32"/>
                <w:szCs w:val="32"/>
                <w:u w:val="none"/>
              </w:rPr>
              <w:t xml:space="preserve">67.61 </w:t>
            </w:r>
          </w:p>
        </w:tc>
        <w:tc>
          <w:tcPr>
            <w:tcW w:w="108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olor w:val="000000"/>
                <w:kern w:val="24"/>
                <w:sz w:val="32"/>
                <w:szCs w:val="32"/>
                <w:u w:val="none"/>
              </w:rPr>
              <w:t>67</w:t>
            </w:r>
          </w:p>
        </w:tc>
        <w:tc>
          <w:tcPr>
            <w:tcW w:w="1552"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olor w:val="000000"/>
                <w:kern w:val="24"/>
                <w:sz w:val="32"/>
                <w:szCs w:val="32"/>
                <w:u w:val="none"/>
              </w:rPr>
              <w:t xml:space="preserve">77.42 </w:t>
            </w:r>
          </w:p>
        </w:tc>
        <w:tc>
          <w:tcPr>
            <w:tcW w:w="108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olor w:val="000000"/>
                <w:kern w:val="24"/>
                <w:sz w:val="32"/>
                <w:szCs w:val="32"/>
                <w:u w:val="none"/>
              </w:rPr>
              <w:t>70</w:t>
            </w:r>
          </w:p>
        </w:tc>
        <w:tc>
          <w:tcPr>
            <w:tcW w:w="1312"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olor w:val="000000"/>
                <w:kern w:val="24"/>
                <w:sz w:val="32"/>
                <w:szCs w:val="32"/>
                <w:u w:val="none"/>
              </w:rPr>
              <w:t xml:space="preserve">68.88 </w:t>
            </w:r>
          </w:p>
        </w:tc>
      </w:tr>
      <w:tr>
        <w:tblPrEx>
          <w:tblCellMar>
            <w:top w:w="0" w:type="dxa"/>
            <w:left w:w="0" w:type="dxa"/>
            <w:bottom w:w="0" w:type="dxa"/>
            <w:right w:w="0" w:type="dxa"/>
          </w:tblCellMar>
        </w:tblPrEx>
        <w:trPr>
          <w:trHeight w:val="567" w:hRule="exact"/>
          <w:jc w:val="center"/>
        </w:trPr>
        <w:tc>
          <w:tcPr>
            <w:tcW w:w="120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olor w:val="000000"/>
                <w:kern w:val="24"/>
                <w:sz w:val="32"/>
                <w:szCs w:val="32"/>
                <w:u w:val="none"/>
              </w:rPr>
              <w:t>二级</w:t>
            </w:r>
          </w:p>
        </w:tc>
        <w:tc>
          <w:tcPr>
            <w:tcW w:w="108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olor w:val="000000"/>
                <w:kern w:val="24"/>
                <w:sz w:val="32"/>
                <w:szCs w:val="32"/>
                <w:u w:val="none"/>
              </w:rPr>
              <w:t>10</w:t>
            </w:r>
          </w:p>
        </w:tc>
        <w:tc>
          <w:tcPr>
            <w:tcW w:w="155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olor w:val="000000"/>
                <w:kern w:val="24"/>
                <w:sz w:val="32"/>
                <w:szCs w:val="32"/>
                <w:u w:val="none"/>
              </w:rPr>
              <w:t xml:space="preserve">70.67 </w:t>
            </w:r>
          </w:p>
        </w:tc>
        <w:tc>
          <w:tcPr>
            <w:tcW w:w="108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olor w:val="000000"/>
                <w:kern w:val="24"/>
                <w:sz w:val="32"/>
                <w:szCs w:val="32"/>
                <w:u w:val="none"/>
              </w:rPr>
              <w:t>10</w:t>
            </w:r>
          </w:p>
        </w:tc>
        <w:tc>
          <w:tcPr>
            <w:tcW w:w="1552"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olor w:val="000000"/>
                <w:kern w:val="24"/>
                <w:sz w:val="32"/>
                <w:szCs w:val="32"/>
                <w:u w:val="none"/>
              </w:rPr>
              <w:t xml:space="preserve">81.71 </w:t>
            </w:r>
          </w:p>
        </w:tc>
        <w:tc>
          <w:tcPr>
            <w:tcW w:w="1086"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olor w:val="000000"/>
                <w:kern w:val="24"/>
                <w:sz w:val="32"/>
                <w:szCs w:val="32"/>
                <w:u w:val="none"/>
              </w:rPr>
              <w:t>10</w:t>
            </w:r>
          </w:p>
        </w:tc>
        <w:tc>
          <w:tcPr>
            <w:tcW w:w="1312" w:type="dxa"/>
            <w:tcBorders>
              <w:top w:val="single" w:color="auto" w:sz="4" w:space="0"/>
              <w:left w:val="single" w:color="auto" w:sz="4" w:space="0"/>
              <w:bottom w:val="single" w:color="auto" w:sz="4" w:space="0"/>
              <w:right w:val="single" w:color="auto" w:sz="4" w:space="0"/>
            </w:tcBorders>
            <w:noWrap w:val="0"/>
            <w:tcMar>
              <w:top w:w="20" w:type="dxa"/>
              <w:left w:w="20" w:type="dxa"/>
              <w:bottom w:w="72" w:type="dxa"/>
              <w:right w:w="20" w:type="dxa"/>
            </w:tcMar>
            <w:vAlign w:val="center"/>
          </w:tcPr>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firstLine="0"/>
              <w:jc w:val="center"/>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i w:val="0"/>
                <w:iCs w:val="0"/>
                <w:color w:val="000000"/>
                <w:kern w:val="24"/>
                <w:sz w:val="32"/>
                <w:szCs w:val="32"/>
                <w:u w:val="none"/>
              </w:rPr>
              <w:t xml:space="preserve">69.50 </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640" w:firstLineChars="200"/>
        <w:textAlignment w:val="auto"/>
        <w:rPr>
          <w:rFonts w:hint="default" w:ascii="Times New Roman" w:hAnsi="Times New Roman" w:eastAsia="楷体_GB2312" w:cs="Times New Roman"/>
          <w:sz w:val="32"/>
          <w:szCs w:val="32"/>
          <w:lang w:eastAsia="zh-CN"/>
        </w:rPr>
      </w:pPr>
      <w:bookmarkStart w:id="17" w:name="_Toc7764"/>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二</w:t>
      </w: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2021年省级数据审核中发现的主要问题</w:t>
      </w:r>
      <w:bookmarkEnd w:id="17"/>
      <w:r>
        <w:rPr>
          <w:rFonts w:hint="default" w:ascii="Times New Roman" w:hAnsi="Times New Roman" w:eastAsia="楷体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1</w:t>
      </w:r>
      <w:r>
        <w:rPr>
          <w:rFonts w:hint="eastAsia" w:ascii="仿宋_GB2312" w:hAnsi="仿宋_GB2312" w:eastAsia="仿宋_GB2312" w:cs="仿宋_GB2312"/>
          <w:b/>
          <w:bCs/>
          <w:sz w:val="32"/>
          <w:szCs w:val="32"/>
          <w:lang w:val="en-US" w:eastAsia="zh-CN"/>
        </w:rPr>
        <w:t>.</w:t>
      </w:r>
      <w:r>
        <w:rPr>
          <w:rFonts w:hint="default" w:ascii="Times New Roman" w:hAnsi="Times New Roman" w:eastAsia="仿宋_GB2312" w:cs="Times New Roman"/>
          <w:b/>
          <w:bCs/>
          <w:sz w:val="32"/>
          <w:szCs w:val="32"/>
        </w:rPr>
        <w:t>价格项目匹配表</w:t>
      </w:r>
      <w:r>
        <w:rPr>
          <w:rFonts w:hint="default" w:ascii="Times New Roman" w:hAnsi="Times New Roman" w:eastAsia="仿宋_GB2312" w:cs="Times New Roman"/>
          <w:b/>
          <w:bCs/>
          <w:sz w:val="32"/>
          <w:szCs w:val="32"/>
          <w:lang w:eastAsia="zh-CN"/>
        </w:rPr>
        <w:t>。</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漏标识</w:t>
      </w:r>
      <w:r>
        <w:rPr>
          <w:rFonts w:hint="default" w:ascii="Times New Roman" w:hAnsi="Times New Roman" w:eastAsia="仿宋_GB2312" w:cs="Times New Roman"/>
          <w:sz w:val="32"/>
          <w:szCs w:val="32"/>
          <w:lang w:val="en-US" w:eastAsia="zh-CN"/>
        </w:rPr>
        <w:t>问题。</w:t>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60"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加收项目漏“加收”标识</w:t>
      </w:r>
      <w:r>
        <w:rPr>
          <w:rFonts w:hint="default" w:ascii="Times New Roman" w:hAnsi="Times New Roman" w:eastAsia="仿宋_GB2312" w:cs="Times New Roman"/>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line="240" w:lineRule="auto"/>
        <w:ind w:left="363"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274310" cy="1510665"/>
            <wp:effectExtent l="0" t="0" r="2540" b="13335"/>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4"/>
                    <a:stretch>
                      <a:fillRect/>
                    </a:stretch>
                  </pic:blipFill>
                  <pic:spPr>
                    <a:xfrm>
                      <a:off x="0" y="0"/>
                      <a:ext cx="5274310" cy="1510665"/>
                    </a:xfrm>
                    <a:prstGeom prst="rect">
                      <a:avLst/>
                    </a:prstGeom>
                    <a:noFill/>
                    <a:ln>
                      <a:noFill/>
                    </a:ln>
                  </pic:spPr>
                </pic:pic>
              </a:graphicData>
            </a:graphic>
          </wp:inline>
        </w:drawing>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63"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收费项目编码带X或S为规范新增项目，国家2012版没有的需添加“新增”标识，国家2012版有的需添加“新开展”标识。</w:t>
      </w:r>
    </w:p>
    <w:p>
      <w:pPr>
        <w:keepNext w:val="0"/>
        <w:keepLines w:val="0"/>
        <w:pageBreakBefore w:val="0"/>
        <w:widowControl w:val="0"/>
        <w:kinsoku/>
        <w:wordWrap/>
        <w:overflowPunct/>
        <w:topLinePunct w:val="0"/>
        <w:autoSpaceDE/>
        <w:autoSpaceDN/>
        <w:bidi w:val="0"/>
        <w:adjustRightInd/>
        <w:snapToGrid/>
        <w:spacing w:line="240" w:lineRule="auto"/>
        <w:ind w:left="36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274310" cy="1574165"/>
            <wp:effectExtent l="0" t="0" r="2540" b="6985"/>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5274310" cy="157416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ind w:left="360"/>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274310" cy="668655"/>
            <wp:effectExtent l="0" t="0" r="2540" b="17145"/>
            <wp:docPr id="5"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pic:cNvPicPr>
                      <a:picLocks noChangeAspect="1"/>
                    </pic:cNvPicPr>
                  </pic:nvPicPr>
                  <pic:blipFill>
                    <a:blip r:embed="rId6"/>
                    <a:stretch>
                      <a:fillRect/>
                    </a:stretch>
                  </pic:blipFill>
                  <pic:spPr>
                    <a:xfrm>
                      <a:off x="0" y="0"/>
                      <a:ext cx="5274310" cy="668655"/>
                    </a:xfrm>
                    <a:prstGeom prst="rect">
                      <a:avLst/>
                    </a:prstGeom>
                    <a:noFill/>
                    <a:ln>
                      <a:noFill/>
                    </a:ln>
                  </pic:spPr>
                </pic:pic>
              </a:graphicData>
            </a:graphic>
          </wp:inline>
        </w:drawing>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363"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收费项目编码带F为市场调节价项目，需添加“授权放开”标识。</w:t>
      </w:r>
    </w:p>
    <w:p>
      <w:pPr>
        <w:keepNext w:val="0"/>
        <w:keepLines w:val="0"/>
        <w:pageBreakBefore w:val="0"/>
        <w:widowControl w:val="0"/>
        <w:kinsoku/>
        <w:wordWrap/>
        <w:overflowPunct/>
        <w:topLinePunct w:val="0"/>
        <w:autoSpaceDE/>
        <w:autoSpaceDN/>
        <w:bidi w:val="0"/>
        <w:adjustRightInd/>
        <w:snapToGrid/>
        <w:spacing w:line="240" w:lineRule="auto"/>
        <w:ind w:left="363"/>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274310" cy="1318895"/>
            <wp:effectExtent l="0" t="0" r="2540" b="14605"/>
            <wp:docPr id="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pic:cNvPicPr>
                      <a:picLocks noChangeAspect="1"/>
                    </pic:cNvPicPr>
                  </pic:nvPicPr>
                  <pic:blipFill>
                    <a:blip r:embed="rId7"/>
                    <a:stretch>
                      <a:fillRect/>
                    </a:stretch>
                  </pic:blipFill>
                  <pic:spPr>
                    <a:xfrm>
                      <a:off x="0" y="0"/>
                      <a:ext cx="5274310" cy="1318895"/>
                    </a:xfrm>
                    <a:prstGeom prst="rect">
                      <a:avLst/>
                    </a:prstGeom>
                    <a:noFill/>
                    <a:ln>
                      <a:noFill/>
                    </a:ln>
                  </pic:spPr>
                </pic:pic>
              </a:graphicData>
            </a:graphic>
          </wp:inline>
        </w:drawing>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新增项目的加收，建议标记加收更准确。</w:t>
      </w:r>
    </w:p>
    <w:p>
      <w:pPr>
        <w:pStyle w:val="11"/>
        <w:keepNext w:val="0"/>
        <w:keepLines w:val="0"/>
        <w:pageBreakBefore w:val="0"/>
        <w:widowControl w:val="0"/>
        <w:kinsoku/>
        <w:wordWrap/>
        <w:overflowPunct/>
        <w:topLinePunct w:val="0"/>
        <w:autoSpaceDE/>
        <w:autoSpaceDN/>
        <w:bidi w:val="0"/>
        <w:adjustRightInd/>
        <w:snapToGrid/>
        <w:spacing w:line="240" w:lineRule="auto"/>
        <w:ind w:left="363"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274310" cy="1758315"/>
            <wp:effectExtent l="0" t="0" r="2540" b="13335"/>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pic:cNvPicPr>
                  </pic:nvPicPr>
                  <pic:blipFill>
                    <a:blip r:embed="rId8"/>
                    <a:stretch>
                      <a:fillRect/>
                    </a:stretch>
                  </pic:blipFill>
                  <pic:spPr>
                    <a:xfrm>
                      <a:off x="0" y="0"/>
                      <a:ext cx="5274310" cy="1758315"/>
                    </a:xfrm>
                    <a:prstGeom prst="rect">
                      <a:avLst/>
                    </a:prstGeom>
                    <a:noFill/>
                    <a:ln>
                      <a:noFill/>
                    </a:ln>
                  </pic:spPr>
                </pic:pic>
              </a:graphicData>
            </a:graphic>
          </wp:inline>
        </w:drawing>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能对应到国家收费标准的未对应上，特别是新增项目。</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274310" cy="2133600"/>
            <wp:effectExtent l="0" t="0" r="2540" b="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9"/>
                    <a:stretch>
                      <a:fillRect/>
                    </a:stretch>
                  </pic:blipFill>
                  <pic:spPr>
                    <a:xfrm>
                      <a:off x="0" y="0"/>
                      <a:ext cx="5274310" cy="2133600"/>
                    </a:xfrm>
                    <a:prstGeom prst="rect">
                      <a:avLst/>
                    </a:prstGeom>
                    <a:noFill/>
                    <a:ln>
                      <a:noFill/>
                    </a:ln>
                  </pic:spPr>
                </pic:pic>
              </a:graphicData>
            </a:graphic>
          </wp:inline>
        </w:drawing>
      </w:r>
    </w:p>
    <w:p>
      <w:pPr>
        <w:pStyle w:val="11"/>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广东省执行01版收费标准，医院现行医疗服务价格错填在执行12版规范处</w:t>
      </w:r>
      <w:r>
        <w:rPr>
          <w:rFonts w:hint="default" w:ascii="Times New Roman" w:hAnsi="Times New Roman" w:eastAsia="仿宋_GB2312" w:cs="Times New Roman"/>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line="240" w:lineRule="auto"/>
        <w:ind w:left="363" w:firstLine="0" w:firstLineChars="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274310" cy="1950085"/>
            <wp:effectExtent l="0" t="0" r="2540" b="12065"/>
            <wp:docPr id="11"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7"/>
                    <pic:cNvPicPr>
                      <a:picLocks noChangeAspect="1"/>
                    </pic:cNvPicPr>
                  </pic:nvPicPr>
                  <pic:blipFill>
                    <a:blip r:embed="rId10"/>
                    <a:stretch>
                      <a:fillRect/>
                    </a:stretch>
                  </pic:blipFill>
                  <pic:spPr>
                    <a:xfrm>
                      <a:off x="0" y="0"/>
                      <a:ext cx="5274310" cy="195008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耗材、药品、血液制品等无需上报</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left"/>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lang w:val="en-US" w:eastAsia="zh-CN"/>
        </w:rPr>
        <w:t>2</w:t>
      </w:r>
      <w:r>
        <w:rPr>
          <w:rFonts w:hint="eastAsia" w:ascii="仿宋_GB2312" w:hAnsi="仿宋_GB2312" w:eastAsia="仿宋_GB2312" w:cs="仿宋_GB2312"/>
          <w:b/>
          <w:bCs/>
          <w:sz w:val="32"/>
          <w:szCs w:val="32"/>
          <w:lang w:val="en-US" w:eastAsia="zh-CN"/>
        </w:rPr>
        <w:t>.</w:t>
      </w:r>
      <w:r>
        <w:rPr>
          <w:rFonts w:hint="default" w:ascii="仿宋_GB2312" w:hAnsi="仿宋_GB2312" w:eastAsia="仿宋_GB2312" w:cs="仿宋_GB2312"/>
          <w:b/>
          <w:bCs/>
          <w:sz w:val="32"/>
          <w:szCs w:val="32"/>
          <w:lang w:val="en-US" w:eastAsia="zh-CN"/>
        </w:rPr>
        <w:t>科</w:t>
      </w:r>
      <w:r>
        <w:rPr>
          <w:rFonts w:hint="default" w:ascii="Times New Roman" w:hAnsi="Times New Roman" w:eastAsia="仿宋_GB2312" w:cs="Times New Roman"/>
          <w:b/>
          <w:bCs/>
          <w:sz w:val="32"/>
          <w:szCs w:val="32"/>
        </w:rPr>
        <w:t>室匹配表</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依据医院自身实际情况，能匹配到更精确的科室应该予以匹配</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274310" cy="1141095"/>
            <wp:effectExtent l="0" t="0" r="2540" b="1905"/>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1"/>
                    <a:stretch>
                      <a:fillRect/>
                    </a:stretch>
                  </pic:blipFill>
                  <pic:spPr>
                    <a:xfrm>
                      <a:off x="0" y="0"/>
                      <a:ext cx="5274310" cy="1141095"/>
                    </a:xfrm>
                    <a:prstGeom prst="rect">
                      <a:avLst/>
                    </a:prstGeom>
                    <a:noFill/>
                    <a:ln>
                      <a:noFill/>
                    </a:ln>
                  </pic:spPr>
                </pic:pic>
              </a:graphicData>
            </a:graphic>
          </wp:inline>
        </w:drawing>
      </w:r>
    </w:p>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274310" cy="1109345"/>
            <wp:effectExtent l="0" t="0" r="2540" b="14605"/>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2"/>
                    <a:stretch>
                      <a:fillRect/>
                    </a:stretch>
                  </pic:blipFill>
                  <pic:spPr>
                    <a:xfrm>
                      <a:off x="0" y="0"/>
                      <a:ext cx="5274310" cy="110934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drawing>
          <wp:inline distT="0" distB="0" distL="114300" distR="114300">
            <wp:extent cx="5274310" cy="828675"/>
            <wp:effectExtent l="0" t="0" r="2540" b="9525"/>
            <wp:docPr id="1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0"/>
                    <pic:cNvPicPr>
                      <a:picLocks noChangeAspect="1"/>
                    </pic:cNvPicPr>
                  </pic:nvPicPr>
                  <pic:blipFill>
                    <a:blip r:embed="rId13"/>
                    <a:stretch>
                      <a:fillRect/>
                    </a:stretch>
                  </pic:blipFill>
                  <pic:spPr>
                    <a:xfrm>
                      <a:off x="0" y="0"/>
                      <a:ext cx="5274310" cy="8286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各科的ICU病房归属于各个科室</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sz w:val="32"/>
          <w:szCs w:val="32"/>
        </w:rPr>
        <w:drawing>
          <wp:inline distT="0" distB="0" distL="114300" distR="114300">
            <wp:extent cx="5274310" cy="514985"/>
            <wp:effectExtent l="0" t="0" r="2540" b="18415"/>
            <wp:docPr id="7"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1"/>
                    <pic:cNvPicPr>
                      <a:picLocks noChangeAspect="1"/>
                    </pic:cNvPicPr>
                  </pic:nvPicPr>
                  <pic:blipFill>
                    <a:blip r:embed="rId14"/>
                    <a:stretch>
                      <a:fillRect/>
                    </a:stretch>
                  </pic:blipFill>
                  <pic:spPr>
                    <a:xfrm>
                      <a:off x="0" y="0"/>
                      <a:ext cx="5274310" cy="514985"/>
                    </a:xfrm>
                    <a:prstGeom prst="rect">
                      <a:avLst/>
                    </a:prstGeom>
                    <a:noFill/>
                    <a:ln>
                      <a:noFill/>
                    </a:ln>
                  </pic:spPr>
                </pic:pic>
              </a:graphicData>
            </a:graphic>
          </wp:inline>
        </w:drawing>
      </w:r>
    </w:p>
    <w:p>
      <w:pPr>
        <w:keepNext w:val="0"/>
        <w:keepLines w:val="0"/>
        <w:spacing w:before="0" w:beforeLines="0" w:after="0" w:afterLines="0"/>
        <w:ind w:firstLine="640" w:firstLineChars="200"/>
        <w:rPr>
          <w:rFonts w:hint="default" w:ascii="Times New Roman" w:hAnsi="Times New Roman" w:eastAsia="楷体_GB2312" w:cs="Times New Roman"/>
          <w:sz w:val="32"/>
          <w:szCs w:val="32"/>
          <w:lang w:val="en-US" w:eastAsia="zh-CN"/>
        </w:rPr>
      </w:pPr>
      <w:bookmarkStart w:id="18" w:name="_Toc26316"/>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lang w:val="en-US" w:eastAsia="zh-CN"/>
        </w:rPr>
        <w:t>三</w:t>
      </w:r>
      <w:r>
        <w:rPr>
          <w:rFonts w:hint="default" w:ascii="Times New Roman" w:hAnsi="Times New Roman" w:eastAsia="楷体_GB2312" w:cs="Times New Roman"/>
          <w:sz w:val="32"/>
          <w:szCs w:val="32"/>
          <w:lang w:eastAsia="zh-CN"/>
        </w:rPr>
        <w:t>）2021年医疗服务价格和成本监测培训班</w:t>
      </w:r>
      <w:r>
        <w:rPr>
          <w:rFonts w:hint="default" w:ascii="Times New Roman" w:hAnsi="Times New Roman" w:eastAsia="楷体_GB2312" w:cs="Times New Roman"/>
          <w:sz w:val="32"/>
          <w:szCs w:val="32"/>
          <w:lang w:val="en-US" w:eastAsia="zh-CN"/>
        </w:rPr>
        <w:t>现场</w:t>
      </w:r>
      <w:bookmarkEnd w:id="18"/>
      <w:r>
        <w:rPr>
          <w:rFonts w:hint="default" w:ascii="Times New Roman" w:hAnsi="Times New Roman" w:eastAsia="楷体_GB2312" w:cs="Times New Roman"/>
          <w:sz w:val="32"/>
          <w:szCs w:val="32"/>
          <w:lang w:val="en-US" w:eastAsia="zh-CN"/>
        </w:rPr>
        <w:t>。</w:t>
      </w:r>
    </w:p>
    <w:p>
      <w:pPr>
        <w:keepNext w:val="0"/>
        <w:keepLines w:val="0"/>
        <w:pageBreakBefore w:val="0"/>
        <w:kinsoku/>
        <w:wordWrap/>
        <w:overflowPunct/>
        <w:topLinePunct w:val="0"/>
        <w:autoSpaceDE/>
        <w:autoSpaceDN/>
        <w:bidi w:val="0"/>
        <w:adjustRightInd/>
        <w:snapToGrid/>
        <w:spacing w:line="560" w:lineRule="exact"/>
        <w:jc w:val="center"/>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lang w:eastAsia="zh-CN"/>
        </w:rPr>
        <w:drawing>
          <wp:anchor distT="0" distB="0" distL="114300" distR="114300" simplePos="0" relativeHeight="251659264" behindDoc="1" locked="0" layoutInCell="1" allowOverlap="1">
            <wp:simplePos x="0" y="0"/>
            <wp:positionH relativeFrom="column">
              <wp:posOffset>230505</wp:posOffset>
            </wp:positionH>
            <wp:positionV relativeFrom="paragraph">
              <wp:posOffset>92710</wp:posOffset>
            </wp:positionV>
            <wp:extent cx="5223510" cy="2546985"/>
            <wp:effectExtent l="0" t="0" r="15240" b="5715"/>
            <wp:wrapTight wrapText="bothSides">
              <wp:wrapPolygon>
                <wp:start x="0" y="0"/>
                <wp:lineTo x="0" y="21487"/>
                <wp:lineTo x="21505" y="21487"/>
                <wp:lineTo x="21505" y="0"/>
                <wp:lineTo x="0" y="0"/>
              </wp:wrapPolygon>
            </wp:wrapTight>
            <wp:docPr id="8" name="图片 2" descr="7555967200e810eef7df1ee8827950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 descr="7555967200e810eef7df1ee8827950f"/>
                    <pic:cNvPicPr>
                      <a:picLocks noChangeAspect="1"/>
                    </pic:cNvPicPr>
                  </pic:nvPicPr>
                  <pic:blipFill>
                    <a:blip r:embed="rId15"/>
                    <a:stretch>
                      <a:fillRect/>
                    </a:stretch>
                  </pic:blipFill>
                  <pic:spPr>
                    <a:xfrm>
                      <a:off x="0" y="0"/>
                      <a:ext cx="5223510" cy="2546985"/>
                    </a:xfrm>
                    <a:prstGeom prst="rect">
                      <a:avLst/>
                    </a:prstGeom>
                    <a:noFill/>
                    <a:ln>
                      <a:noFill/>
                    </a:ln>
                  </pic:spPr>
                </pic:pic>
              </a:graphicData>
            </a:graphic>
          </wp:anchor>
        </w:drawing>
      </w:r>
    </w:p>
    <w:p>
      <w:pPr>
        <w:rPr>
          <w:rFonts w:hint="default" w:ascii="Times New Roman" w:hAnsi="Times New Roman" w:cs="Times New Roman"/>
        </w:rPr>
      </w:pPr>
    </w:p>
    <w:p/>
    <w:sectPr>
      <w:pgSz w:w="11906" w:h="16838"/>
      <w:pgMar w:top="2041" w:right="1800" w:bottom="204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E5978"/>
    <w:rsid w:val="7D8E59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ascii="Calibri" w:hAnsi="Calibri" w:eastAsia="宋体" w:cs="Times New Roman"/>
      <w:b/>
      <w:kern w:val="44"/>
      <w:sz w:val="44"/>
      <w:szCs w:val="24"/>
      <w:lang w:bidi="ar-SA"/>
    </w:rPr>
  </w:style>
  <w:style w:type="paragraph" w:styleId="4">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cs="Times New Roman"/>
      <w:b/>
      <w:sz w:val="32"/>
      <w:szCs w:val="24"/>
      <w:lang w:bidi="ar-SA"/>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kern w:val="0"/>
      <w:szCs w:val="24"/>
      <w:lang w:bidi="ar-SA"/>
    </w:rPr>
  </w:style>
  <w:style w:type="paragraph" w:styleId="5">
    <w:name w:val="Body Text Indent"/>
    <w:basedOn w:val="1"/>
    <w:next w:val="1"/>
    <w:qFormat/>
    <w:uiPriority w:val="0"/>
    <w:pPr>
      <w:spacing w:line="150" w:lineRule="atLeast"/>
      <w:ind w:firstLine="420" w:firstLineChars="200"/>
      <w:textAlignment w:val="baseline"/>
    </w:pPr>
    <w:rPr>
      <w:rFonts w:ascii="Times New Roman" w:hAnsi="Times New Roman" w:eastAsia="仿宋_GB2312" w:cs="Times New Roman"/>
      <w:sz w:val="32"/>
      <w:szCs w:val="24"/>
      <w:lang w:bidi="ar-SA"/>
    </w:rPr>
  </w:style>
  <w:style w:type="paragraph" w:styleId="6">
    <w:name w:val="Normal (Web)"/>
    <w:basedOn w:val="1"/>
    <w:qFormat/>
    <w:uiPriority w:val="0"/>
    <w:pPr>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7">
    <w:name w:val="Body Text First Indent 2"/>
    <w:basedOn w:val="5"/>
    <w:qFormat/>
    <w:uiPriority w:val="0"/>
    <w:pPr>
      <w:spacing w:line="360" w:lineRule="auto"/>
    </w:pPr>
    <w:rPr>
      <w:rFonts w:eastAsia="宋体"/>
      <w:sz w:val="24"/>
    </w:rPr>
  </w:style>
  <w:style w:type="paragraph" w:customStyle="1" w:styleId="10">
    <w:name w:val="Body text|1"/>
    <w:basedOn w:val="1"/>
    <w:qFormat/>
    <w:uiPriority w:val="0"/>
    <w:pPr>
      <w:keepNext w:val="0"/>
      <w:keepLines w:val="0"/>
      <w:widowControl w:val="0"/>
      <w:suppressLineNumbers w:val="0"/>
      <w:spacing w:before="0" w:beforeAutospacing="0" w:after="0" w:afterAutospacing="0" w:line="432" w:lineRule="auto"/>
      <w:ind w:left="0" w:right="0" w:firstLine="400"/>
      <w:jc w:val="left"/>
    </w:pPr>
    <w:rPr>
      <w:rFonts w:hint="eastAsia" w:ascii="宋体" w:hAnsi="宋体" w:eastAsia="宋体" w:cs="宋体"/>
      <w:color w:val="000000"/>
      <w:kern w:val="0"/>
      <w:sz w:val="30"/>
      <w:szCs w:val="30"/>
      <w:lang w:val="en-US" w:eastAsia="zh-CN" w:bidi="ar"/>
    </w:rPr>
  </w:style>
  <w:style w:type="paragraph" w:styleId="11">
    <w:name w:val="List Paragraph"/>
    <w:basedOn w:val="1"/>
    <w:qFormat/>
    <w:uiPriority w:val="34"/>
    <w:pPr>
      <w:ind w:firstLine="420" w:firstLineChars="200"/>
    </w:pPr>
    <w:rPr>
      <w:rFonts w:ascii="Calibri" w:hAnsi="Calibri" w:eastAsia="宋体" w:cs="Times New Roman"/>
      <w:szCs w:val="24"/>
      <w:lang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2022-04-11T01:44:00Z</dcterms:created>
  <dc:creator>喵</dc:creator>
  <cp:lastModifiedBy>喵</cp:lastModifiedBy>
  <dcterms:modified xsi:type="dcterms:W3CDTF">2022-04-11T01:49:51Z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B644B732F9D24F9D8594ED3B37AE0DC2</vt:lpwstr>
  </property>
</Properties>
</file>