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Hans"/>
        </w:rPr>
        <w:t>省新生儿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重症医学专业质量控制中心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工作机构、职责及成员名单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广东省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 w:bidi="ar-SA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质量控制中心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是根据质量管理工作需要组建的，协助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省卫生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 w:bidi="ar-SA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重症医学专业质量管理与控制工作。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该中心是委托性质的专家委员会，无独立法人资格，挂靠在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Hans"/>
        </w:rPr>
        <w:t>广东省妇幼保健院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Hans"/>
        </w:rPr>
        <w:t>广东省妇幼保健院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（一）拟定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专业的质控程序、标准和计划，制定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专业考核方案和质控指标，报省卫生健康委发布实施。组织相应的质控培训、指导实施；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（二）负责质控工作的实施，组织对医疗机构进行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新生儿重症医学专业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质量控制和质量评价，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专业质量评估工作，及时将评估结果和整改意见建议报省卫生健康委；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专业质控信息数据库，推进本行政区域相关专业信息化建设。为行政决策提供依据；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专业质量信息的收集、统计、分析和评价，并对质控的真实性进行抽查复核；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专业质控网络，主动与国家质控中心联系，做好国家级质控工作的承接，指导市、县（市、区）质控中心开展工作；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专业人才队伍的发展规划，组织我省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新生儿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重症医学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三、成员名单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黄水清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广东省妇幼保健院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副院长、主任医师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柳国胜  暨南大学附属第一医院新生儿科学科带头人、主任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周  伟  广州市妇女儿童医疗中心新生儿科学科带头人、主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任医师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新生儿科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刘玉梅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广东省人民医院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新生儿科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孟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琼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广东省第二人民医院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新生儿科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朱小春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广东省妇幼保健院新生儿外科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黄晓睿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广东省妇幼保健院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新生儿科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护士长、主任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张国强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广东省妇幼保健院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质控科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科长、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副主任技师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广东省妇幼保健院新生儿科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肖尚杰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广东省妇幼保健院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新生儿外科副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欧阳颖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中山大学孙逸仙纪念医院新生儿科主任、主任医师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郝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虎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中山大学附属第六医院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儿科教研室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李冰肖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暨南大学附属第一医院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新生儿科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李伟中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汕头大学医学院第二附属医院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院长、主任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吴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Hans"/>
        </w:rPr>
        <w:t>广州医科大学附属第三医院新生儿科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赵小朋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  <w:t>广州市妇女儿童医疗中心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Hans"/>
        </w:rPr>
        <w:t>新生儿科副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陈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诚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深圳市龙岗区妇幼保健院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新生儿科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戴怡蘅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佛山市妇幼保健院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新生儿科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敖祯祯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河源市妇幼保健院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院长、副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刁诗光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粤北人民医院儿科主任、主任医师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陈志凤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 东莞市人民医院新生儿科主任、主任医师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谢彦奇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茂名市妇幼保健院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院长、主任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 xml:space="preserve">李伙德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CN"/>
        </w:rPr>
        <w:t>云浮新兴县妇幼保健院院长、主任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vertAlign w:val="baseline"/>
          <w:lang w:val="en-US" w:eastAsia="zh-Hans"/>
        </w:rPr>
        <w:t>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张春一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Hans"/>
        </w:rPr>
        <w:t>广东省妇幼保健院新生儿科副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主任医师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杨浩鸣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Hans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广东省妇幼保健院新生儿科主治医师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1DF2560A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