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spacing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spacing w:val="0"/>
          <w:kern w:val="0"/>
          <w:sz w:val="44"/>
          <w:szCs w:val="44"/>
          <w:lang w:val="en-US" w:eastAsia="zh-CN"/>
        </w:rPr>
        <w:t>植入前胚胎遗传学诊断技术筹建申报机构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spacing w:val="0"/>
          <w:kern w:val="0"/>
          <w:sz w:val="44"/>
          <w:szCs w:val="44"/>
          <w:lang w:val="en-US" w:eastAsia="zh-CN"/>
        </w:rPr>
        <w:t>入围名单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广东省第二人民医院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东莞市妇幼保健院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江门市中心医院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佛山市妇幼保健院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香港大学深圳医院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韶关市妇幼保健院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中山大学附属第三医院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汕头大学医学院第一附属医院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广东省人民医院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</w:p>
    <w:p>
      <w:pPr>
        <w:pStyle w:val="2"/>
        <w:spacing w:line="520" w:lineRule="exact"/>
        <w:jc w:val="lef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A0721"/>
    <w:rsid w:val="12EA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0" w:after="140" w:line="276" w:lineRule="auto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2023-03-06T07:00:00Z</dcterms:created>
  <dc:creator>user</dc:creator>
  <cp:lastModifiedBy>user</cp:lastModifiedBy>
  <dcterms:modified xsi:type="dcterms:W3CDTF">2023-03-06T07:00:58Z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