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 w:val="0"/>
        <w:topLinePunct w:val="0"/>
        <w:autoSpaceDE w:val="0"/>
        <w:autoSpaceDN/>
        <w:bidi w:val="0"/>
        <w:adjustRightInd/>
        <w:snapToGrid/>
        <w:spacing w:before="0" w:beforeLines="0" w:after="0" w:afterLines="0" w:line="560" w:lineRule="exact"/>
        <w:ind w:left="0" w:firstLine="0"/>
        <w:textAlignment w:val="baseline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 xml:space="preserve">3  </w:t>
      </w:r>
    </w:p>
    <w:p>
      <w:pPr>
        <w:pStyle w:val="7"/>
        <w:keepNext w:val="0"/>
        <w:keepLines w:val="0"/>
        <w:pageBreakBefore w:val="0"/>
        <w:widowControl/>
        <w:kinsoku/>
        <w:topLinePunct w:val="0"/>
        <w:autoSpaceDE w:val="0"/>
        <w:bidi w:val="0"/>
        <w:adjustRightInd/>
        <w:snapToGrid/>
        <w:spacing w:line="560" w:lineRule="exact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 w:val="0"/>
        <w:topLinePunct w:val="0"/>
        <w:autoSpaceDE w:val="0"/>
        <w:autoSpaceDN/>
        <w:bidi w:val="0"/>
        <w:adjustRightInd/>
        <w:snapToGrid/>
        <w:spacing w:before="0" w:beforeLines="0" w:after="0" w:afterLines="0" w:line="700" w:lineRule="exact"/>
        <w:ind w:left="0" w:firstLine="0"/>
        <w:jc w:val="center"/>
        <w:textAlignment w:val="baseline"/>
        <w:rPr>
          <w:rFonts w:hint="default" w:ascii="Times New Roman" w:hAnsi="Times New Roman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44"/>
          <w:lang w:val="en-US" w:eastAsia="zh-CN"/>
        </w:rPr>
        <w:t>老年人个性化家庭医生签约服务项目参考标准</w:t>
      </w:r>
    </w:p>
    <w:bookmarkEnd w:id="0"/>
    <w:p>
      <w:pPr>
        <w:pStyle w:val="7"/>
        <w:keepNext w:val="0"/>
        <w:keepLines w:val="0"/>
        <w:pageBreakBefore w:val="0"/>
        <w:kinsoku/>
        <w:topLinePunct w:val="0"/>
        <w:bidi w:val="0"/>
        <w:adjustRightInd/>
        <w:snapToGrid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kinsoku/>
        <w:topLinePunct w:val="0"/>
        <w:bidi w:val="0"/>
        <w:adjustRightInd/>
        <w:snapToGrid/>
        <w:spacing w:line="560" w:lineRule="exact"/>
        <w:ind w:firstLine="643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说明：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我省城乡家庭医生签约服务实行分类签约、有偿签约、差别化签约。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按照服务内容，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家庭医生签约服务包分为基本服务包（含基本医疗服务项目、基本公共卫生服务项目）及个性化服务包。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按照费用标准，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每类人群的服务包又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可细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分为免费包（即该类人群的基本公共卫生服务包）、初级包、中级包、高级包等4个档次，以满足多层次的健康需求。签约居民视自身需求自愿选择签约一种或多种类型服务包。收付费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管理详见《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广东省家庭医生签约服务包收付费的指导意见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粤卫〔2016〕111号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文）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以下项目根据各地现行个性化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服务整理，供各地参考使用。各地可结合实际需求进一步调整完善。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topLinePunct w:val="0"/>
        <w:bidi w:val="0"/>
        <w:adjustRightInd/>
        <w:snapToGrid/>
        <w:spacing w:before="0" w:beforeLines="0" w:after="0" w:afterLines="0" w:line="560" w:lineRule="exact"/>
        <w:ind w:left="0" w:firstLine="640" w:firstLineChars="200"/>
        <w:jc w:val="both"/>
        <w:rPr>
          <w:rFonts w:hint="default" w:ascii="Times New Roman" w:hAnsi="Times New Roman" w:eastAsia="黑体" w:cs="Times New Roman"/>
          <w:snapToGrid w:val="0"/>
          <w:color w:val="000000"/>
          <w:position w:val="0"/>
          <w:szCs w:val="2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auto"/>
          <w:position w:val="0"/>
          <w:sz w:val="32"/>
          <w:szCs w:val="32"/>
          <w:lang w:val="en-US" w:eastAsia="zh-CN"/>
        </w:rPr>
        <w:t>项目1</w:t>
      </w: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positio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snapToGrid w:val="0"/>
          <w:color w:val="auto"/>
          <w:positio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napToGrid w:val="0"/>
          <w:color w:val="auto"/>
          <w:position w:val="0"/>
          <w:sz w:val="32"/>
          <w:szCs w:val="32"/>
          <w:lang w:val="en-US" w:eastAsia="zh-CN"/>
        </w:rPr>
        <w:t>冠心病保健服务</w:t>
      </w:r>
      <w:r>
        <w:rPr>
          <w:rFonts w:hint="default" w:ascii="Times New Roman" w:hAnsi="Times New Roman" w:cs="Times New Roman"/>
          <w:snapToGrid w:val="0"/>
          <w:color w:val="auto"/>
          <w:position w:val="0"/>
          <w:sz w:val="32"/>
          <w:szCs w:val="32"/>
          <w:lang w:val="en-US" w:eastAsia="zh-CN"/>
        </w:rPr>
        <w:t>项目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840"/>
          <w:tab w:val="left" w:pos="1260"/>
        </w:tabs>
        <w:kinsoku/>
        <w:topLinePunct w:val="0"/>
        <w:bidi w:val="0"/>
        <w:adjustRightInd/>
        <w:snapToGrid/>
        <w:spacing w:line="56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snapToGrid w:val="0"/>
          <w:position w:val="0"/>
          <w:sz w:val="32"/>
          <w:szCs w:val="32"/>
          <w:lang w:val="en-US" w:eastAsia="zh-CN" w:bidi="ar-SA"/>
        </w:rPr>
        <w:t>（一）必选项目。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</w:rPr>
        <w:t>血脂四项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</w:rPr>
        <w:t>血清总胆固醇测定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</w:rPr>
        <w:t>血清甘油三酯测定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</w:rPr>
        <w:t>血清高密度脂蛋白胆固醇测定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</w:rPr>
        <w:t>血清低密度脂蛋白胆固醇测定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  <w:lang w:eastAsia="zh-CN"/>
        </w:rPr>
        <w:t>）、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</w:rPr>
        <w:t>电解质三项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</w:rPr>
        <w:t>钾测定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</w:rPr>
        <w:t>钠测定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</w:rPr>
        <w:t>氯测定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  <w:lang w:eastAsia="zh-CN"/>
        </w:rPr>
        <w:t>）、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</w:rPr>
        <w:t>常规心电图检查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840"/>
          <w:tab w:val="left" w:pos="1260"/>
        </w:tabs>
        <w:kinsoku/>
        <w:topLinePunct w:val="0"/>
        <w:bidi w:val="0"/>
        <w:adjustRightInd/>
        <w:snapToGrid/>
        <w:spacing w:line="56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snapToGrid w:val="0"/>
          <w:position w:val="0"/>
          <w:sz w:val="32"/>
          <w:szCs w:val="32"/>
          <w:lang w:val="en-US" w:eastAsia="zh-CN" w:bidi="ar-SA"/>
        </w:rPr>
        <w:t>（二）自选项目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</w:rPr>
        <w:t>心六酶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</w:rPr>
        <w:t>血清肌酸激酶测定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</w:rPr>
        <w:t>血清肌酸激酶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-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position w:val="0"/>
          <w:sz w:val="32"/>
          <w:szCs w:val="32"/>
        </w:rPr>
        <w:t>MB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</w:rPr>
        <w:t>同工酶活性测定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</w:rPr>
        <w:t>乳酸脱氢酶测定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</w:rPr>
        <w:t>血清乳酸脱氢酶同工酶电泳分析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</w:rPr>
        <w:t>血清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position w:val="0"/>
          <w:sz w:val="32"/>
          <w:szCs w:val="32"/>
        </w:rPr>
        <w:t>α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</w:rPr>
        <w:t>羟基丁酸脱氢酶测定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</w:rPr>
        <w:t>血清天门冬氨酸氨基转移酶测定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  <w:lang w:eastAsia="zh-CN"/>
        </w:rPr>
        <w:t>）、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</w:rPr>
        <w:t>肝功四项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</w:rPr>
        <w:t>血清丙氨酸氨基转移酶测定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</w:rPr>
        <w:t>血清天门冬氨酸氨基转移酶测定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</w:rPr>
        <w:t>血清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position w:val="0"/>
          <w:sz w:val="32"/>
          <w:szCs w:val="32"/>
        </w:rPr>
        <w:t>γ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</w:rPr>
        <w:t>-谷氨酰基转移酶测定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</w:rPr>
        <w:t>血清碱性磷酸酶测定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  <w:lang w:eastAsia="zh-CN"/>
        </w:rPr>
        <w:t>）、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</w:rPr>
        <w:t>生化四项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</w:rPr>
        <w:t>葡萄糖测定（血清）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</w:rPr>
        <w:t>血清尿酸测定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</w:rPr>
        <w:t>肌酐测定（血清）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</w:rPr>
        <w:t>尿素测定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  <w:lang w:eastAsia="zh-CN"/>
        </w:rPr>
        <w:t>）、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</w:rPr>
        <w:t>肝胆脾胰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position w:val="0"/>
          <w:sz w:val="32"/>
          <w:szCs w:val="32"/>
        </w:rPr>
        <w:t>B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</w:rPr>
        <w:t>超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position w:val="0"/>
          <w:sz w:val="32"/>
          <w:szCs w:val="32"/>
        </w:rPr>
        <w:t>B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</w:rPr>
        <w:t>超常规检查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</w:rPr>
        <w:t>超声计算机图文报告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  <w:lang w:eastAsia="zh-CN"/>
        </w:rPr>
        <w:t>）、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</w:rPr>
        <w:t>双肾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</w:rPr>
        <w:t>膀胱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position w:val="0"/>
          <w:sz w:val="32"/>
          <w:szCs w:val="32"/>
        </w:rPr>
        <w:t>B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</w:rPr>
        <w:t>超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position w:val="0"/>
          <w:sz w:val="32"/>
          <w:szCs w:val="32"/>
        </w:rPr>
        <w:t>B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</w:rPr>
        <w:t>超常规检查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</w:rPr>
        <w:t>超声计算机图文报告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  <w:lang w:eastAsia="zh-CN"/>
        </w:rPr>
        <w:t>）、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</w:rPr>
        <w:t>颈动脉彩超（双侧颈总、颈内、颈外动脉）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</w:rPr>
        <w:t>颈部血管彩色多普勒超声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</w:rPr>
        <w:t>超声计算机图文报告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  <w:lang w:eastAsia="zh-CN"/>
        </w:rPr>
        <w:t>）、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</w:rPr>
        <w:t>心脏彩超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</w:rPr>
        <w:t>经胸心脏彩色多普勒超声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</w:rPr>
        <w:t>左心功能测定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</w:rPr>
        <w:t>组织多普勒显象</w:t>
      </w:r>
      <w:r>
        <w:rPr>
          <w:rFonts w:hint="default" w:ascii="Times New Roman" w:hAnsi="Times New Roman" w:cs="Times New Roman"/>
          <w:snapToGrid w:val="0"/>
          <w:positio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position w:val="0"/>
          <w:sz w:val="32"/>
          <w:szCs w:val="32"/>
        </w:rPr>
        <w:t>TDI</w:t>
      </w:r>
      <w:r>
        <w:rPr>
          <w:rFonts w:hint="default" w:ascii="Times New Roman" w:hAnsi="Times New Roman" w:cs="Times New Roman"/>
          <w:snapToGrid w:val="0"/>
          <w:color w:val="000000"/>
          <w:kern w:val="0"/>
          <w:positio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</w:rPr>
        <w:t>超声计算机图文报告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snapToGrid w:val="0"/>
          <w:positio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</w:rPr>
        <w:t>胸部正侧位片（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position w:val="0"/>
          <w:sz w:val="32"/>
          <w:szCs w:val="32"/>
        </w:rPr>
        <w:t>DR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  <w:lang w:eastAsia="zh-CN"/>
        </w:rPr>
        <w:t>；</w:t>
      </w:r>
    </w:p>
    <w:p>
      <w:pPr>
        <w:numPr>
          <w:ilvl w:val="0"/>
          <w:numId w:val="0"/>
        </w:numPr>
        <w:tabs>
          <w:tab w:val="left" w:pos="840"/>
          <w:tab w:val="left" w:pos="1260"/>
        </w:tabs>
        <w:bidi w:val="0"/>
        <w:spacing w:beforeLines="0" w:afterLines="0" w:line="56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楷体_GB2312" w:cs="Times New Roman"/>
          <w:snapToGrid w:val="0"/>
          <w:position w:val="0"/>
          <w:sz w:val="32"/>
          <w:szCs w:val="32"/>
          <w:lang w:val="en-US" w:eastAsia="zh-CN" w:bidi="ar-SA"/>
        </w:rPr>
        <w:t>三）赠送项目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</w:rPr>
        <w:t>冠心病高危因素评估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</w:rPr>
        <w:t>冠心病患者饮食和运动指导课</w:t>
      </w:r>
      <w:r>
        <w:rPr>
          <w:rFonts w:hint="default" w:ascii="Times New Roman" w:hAnsi="Times New Roman" w:eastAsia="仿宋_GB2312" w:cs="Times New Roman"/>
          <w:snapToGrid w:val="0"/>
          <w:position w:val="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tabs>
          <w:tab w:val="left" w:pos="840"/>
          <w:tab w:val="left" w:pos="1260"/>
        </w:tabs>
        <w:bidi w:val="0"/>
        <w:spacing w:beforeLines="0" w:afterLines="0" w:line="560" w:lineRule="exact"/>
        <w:ind w:left="0" w:leftChars="0" w:firstLine="640" w:firstLineChars="200"/>
        <w:jc w:val="both"/>
        <w:rPr>
          <w:rFonts w:hint="default" w:ascii="Times New Roman" w:hAnsi="Times New Roman" w:eastAsia="宋体" w:cs="Times New Roman"/>
          <w:color w:val="000000"/>
          <w:sz w:val="21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2  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 w:bidi="ar-SA"/>
        </w:rPr>
        <w:t>高血压动态管理服务项目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宋体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（一）必选项目。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心理状态评估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气质量表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宗氏焦虑自评量表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宗氏抑郁自评量表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）、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中医健康调养咨询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（二）自选项目。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肾功检测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尿微量白蛋白测定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血清尿酸测定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肌酐测定（血清）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尿素测定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）、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心酶五项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血清肌酸激酶测定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血清肌酸激酶-MB同工酶活性测定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乳酸脱氢酶测定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血清α羟基丁酸脱氢酶测定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血清天门冬氨酸氨基转移酶测定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）、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电解质四项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钾测定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钠测定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氯测定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钙测定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）、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血脂四项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血清总胆固醇测定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血清甘油三酯测定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血清高密度脂蛋白胆固醇测定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血清低密度脂蛋白胆固醇测定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）、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肝功四项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血清丙氨酸氨基转移酶测定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血清天门冬氨酸氨基转移酶测定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血清γ-谷氨酰基转移酶测定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血清碱性磷酸酶测定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）、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合并糖尿病筛查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葡萄糖测定（血清）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糖化血红蛋白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）、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肝胆脾胰B超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B超常规检查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超声计算机图文报告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）、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双肾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膀胱B超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B超常规检查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超声计算机图文报告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）、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颈动脉彩超（双侧颈总、颈内、颈外动脉）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颈部血管彩色多普勒超声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超声计算机图文报告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snapToGrid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动态血压监测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（三）赠送项目。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血压分级与心血管风险评估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GPRS远程血压计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监测</w:t>
      </w:r>
      <w:r>
        <w:rPr>
          <w:rFonts w:hint="default" w:ascii="Times New Roman" w:hAnsi="Times New Roman" w:cs="Times New Roman"/>
          <w:snapToGrid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每次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7天</w:t>
      </w:r>
      <w:r>
        <w:rPr>
          <w:rFonts w:hint="default" w:ascii="Times New Roman" w:hAnsi="Times New Roman" w:cs="Times New Roman"/>
          <w:snapToGrid w:val="0"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优先预约医联体专家会诊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非急会诊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宋体" w:cs="Times New Roman"/>
          <w:snapToGrid w:val="0"/>
          <w:color w:val="000000"/>
          <w:kern w:val="0"/>
          <w:sz w:val="21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lang w:val="en-US" w:eastAsia="zh-CN"/>
        </w:rPr>
        <w:t>项目3</w:t>
      </w:r>
      <w:r>
        <w:rPr>
          <w:rFonts w:hint="default" w:ascii="Times New Roman" w:hAnsi="Times New Roman" w:cs="Times New Roman"/>
          <w:snapToGrid w:val="0"/>
          <w:color w:val="000000"/>
          <w:kern w:val="0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糖尿病患</w:t>
      </w: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 w:bidi="ar-SA"/>
        </w:rPr>
        <w:t>者“护眼”服</w:t>
      </w: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务服务项目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（一）自选项目。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裂隙灯检查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裂隙灯下眼底检查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糖化血红蛋白测定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四肢动静脉彩超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上肢血管彩色多普勒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下肢血管彩色多普勒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超声计算机图文报告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snapToGrid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napToGrid w:val="0"/>
          <w:color w:val="000000"/>
          <w:kern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snapToGrid w:val="0"/>
          <w:color w:val="000000"/>
          <w:kern w:val="0"/>
          <w:sz w:val="32"/>
          <w:szCs w:val="32"/>
          <w:lang w:eastAsia="zh-CN"/>
        </w:rPr>
        <w:t>）赠送项目</w:t>
      </w:r>
      <w:r>
        <w:rPr>
          <w:rFonts w:hint="default" w:ascii="Times New Roman" w:hAnsi="Times New Roman" w:eastAsia="楷体_GB2312" w:cs="Times New Roman"/>
          <w:snapToGrid w:val="0"/>
          <w:color w:val="000000"/>
          <w:kern w:val="0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糖尿病患者风险评估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时令体质辨识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中医体质辨识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时令个体健康咨询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）、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优先预约就诊签约家庭医生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优先预约医联体或双向转诊医疗机构内专科号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糖尿病患者自我管理班课程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firstLine="0"/>
        <w:jc w:val="both"/>
        <w:textAlignment w:val="auto"/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000000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lang w:val="en-US" w:eastAsia="zh-CN"/>
        </w:rPr>
        <w:t xml:space="preserve">项目4 </w:t>
      </w:r>
      <w:r>
        <w:rPr>
          <w:rFonts w:hint="default" w:ascii="Times New Roman" w:hAnsi="Times New Roman" w:cs="Times New Roman"/>
          <w:snapToGrid w:val="0"/>
          <w:color w:val="000000"/>
          <w:kern w:val="0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糖尿病足筛查管理个性化服务项目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（一）必选项目。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糖化血红蛋白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中医体质辨识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kern w:val="0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（二）自选项目。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微血管血糖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心酶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肌酸激酶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肌酸激酶同工酶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乳酸脱氢酶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LDH/HBDH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a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-羟丁酸脱氢酶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）、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电解质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钾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钠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氯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钙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磷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）、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感觉阈值测量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四肢多普勒血流图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下肢血管彩超（双下肢动静脉四组血管）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视情况选一侧或双侧肢体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）、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耳穴贴压（双侧）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电针10穴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中药熏药治疗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气压治疗（双下肢）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楷体_GB2312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（三）赠送项目。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健康咨询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糖尿病并发症评估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糖尿病足护理指导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糖尿病足健教课程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血糖自我监测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并发症自我筛查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药物使用指导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饮食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运动指导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中医调养指导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）、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优先预约家庭医生门诊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优先预约医联体医院专科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6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NmI3NTdjZGQ2OWQzMjQyZTAwNzRhYjE4NjkyYWQifQ=="/>
  </w:docVars>
  <w:rsids>
    <w:rsidRoot w:val="2EDD6487"/>
    <w:rsid w:val="2EDD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ascii="Times New Roman" w:hAnsi="Times New Roman" w:eastAsia="宋体" w:cs="Times New Roman"/>
      <w:snapToGrid w:val="0"/>
      <w:kern w:val="0"/>
      <w:sz w:val="32"/>
      <w:szCs w:val="24"/>
      <w:lang w:bidi="ar-SA"/>
    </w:rPr>
  </w:style>
  <w:style w:type="paragraph" w:styleId="3">
    <w:name w:val="Title"/>
    <w:basedOn w:val="1"/>
    <w:next w:val="1"/>
    <w:uiPriority w:val="0"/>
    <w:pPr>
      <w:spacing w:before="240" w:after="60" w:line="420" w:lineRule="exact"/>
      <w:jc w:val="center"/>
      <w:outlineLvl w:val="0"/>
    </w:pPr>
    <w:rPr>
      <w:rFonts w:ascii="Cambria" w:hAnsi="Cambria" w:eastAsia="黑体" w:cs="Times New Roman"/>
      <w:bCs/>
      <w:snapToGrid w:val="0"/>
      <w:kern w:val="0"/>
      <w:sz w:val="24"/>
      <w:szCs w:val="32"/>
      <w:lang w:bidi="ar-SA"/>
    </w:rPr>
  </w:style>
  <w:style w:type="paragraph" w:customStyle="1" w:styleId="6">
    <w:name w:val="附录章标题"/>
    <w:next w:val="7"/>
    <w:qFormat/>
    <w:uiPriority w:val="0"/>
    <w:pPr>
      <w:numPr>
        <w:ilvl w:val="1"/>
        <w:numId w:val="1"/>
      </w:numPr>
      <w:tabs>
        <w:tab w:val="left" w:pos="360"/>
      </w:tabs>
      <w:wordWrap w:val="0"/>
      <w:overflowPunct w:val="0"/>
      <w:autoSpaceDE w:val="0"/>
      <w:spacing w:before="100" w:beforeLines="100" w:after="100" w:afterLines="100"/>
      <w:jc w:val="both"/>
      <w:textAlignment w:val="baseline"/>
      <w:outlineLvl w:val="1"/>
    </w:pPr>
    <w:rPr>
      <w:rFonts w:ascii="黑体" w:hAnsi="Calibri" w:eastAsia="黑体" w:cs="Times New Roman"/>
      <w:kern w:val="21"/>
      <w:sz w:val="21"/>
      <w:lang w:val="en-US" w:eastAsia="zh-CN" w:bidi="ar-SA"/>
    </w:rPr>
  </w:style>
  <w:style w:type="paragraph" w:customStyle="1" w:styleId="7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Calibri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2023-04-17T08:31:00Z</dcterms:created>
  <dc:creator>西门</dc:creator>
  <cp:lastModifiedBy>西门</cp:lastModifiedBy>
  <dcterms:modified xsi:type="dcterms:W3CDTF">2023-04-17T08:31:13Z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4246CA7B12C04F88A2314DBBE8BE618F_11</vt:lpwstr>
  </property>
</Properties>
</file>