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68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napToGrid w:val="0"/>
          <w:color w:val="auto"/>
          <w:kern w:val="0"/>
          <w:sz w:val="44"/>
          <w:szCs w:val="44"/>
          <w:highlight w:val="none"/>
          <w:lang w:val="en-US" w:eastAsia="zh-CN"/>
        </w:rPr>
      </w:pPr>
      <w:r>
        <w:rPr>
          <w:rFonts w:hint="default" w:ascii="Times New Roman" w:hAnsi="Times New Roman" w:eastAsia="方正小标宋简体" w:cs="Times New Roman"/>
          <w:b w:val="0"/>
          <w:bCs w:val="0"/>
          <w:snapToGrid w:val="0"/>
          <w:color w:val="auto"/>
          <w:kern w:val="0"/>
          <w:sz w:val="44"/>
          <w:szCs w:val="44"/>
          <w:highlight w:val="none"/>
          <w:lang w:val="en-US" w:eastAsia="zh-CN"/>
        </w:rPr>
        <w:t>广东省疾病应急救助补助资金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napToGrid w:val="0"/>
          <w:color w:val="auto"/>
          <w:kern w:val="0"/>
          <w:sz w:val="44"/>
          <w:szCs w:val="44"/>
          <w:highlight w:val="none"/>
          <w:lang w:val="en-US" w:eastAsia="zh-CN"/>
        </w:rPr>
      </w:pPr>
      <w:bookmarkStart w:id="0" w:name="_GoBack"/>
      <w:bookmarkEnd w:id="0"/>
      <w:r>
        <w:rPr>
          <w:rFonts w:hint="default" w:ascii="Times New Roman" w:hAnsi="Times New Roman" w:eastAsia="方正小标宋简体" w:cs="Times New Roman"/>
          <w:b w:val="0"/>
          <w:bCs w:val="0"/>
          <w:snapToGrid w:val="0"/>
          <w:color w:val="auto"/>
          <w:kern w:val="0"/>
          <w:sz w:val="44"/>
          <w:szCs w:val="44"/>
          <w:highlight w:val="none"/>
          <w:lang w:val="en-US" w:eastAsia="zh-CN"/>
        </w:rPr>
        <w:t>中央转移支付2022年度绩效自评报告</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Times New Roman" w:hAnsi="Times New Roman" w:eastAsia="仿宋_GB2312" w:cs="Times New Roman"/>
          <w:b w:val="0"/>
          <w:bCs/>
          <w:i w:val="0"/>
          <w:caps w:val="0"/>
          <w:snapToGrid w:val="0"/>
          <w:color w:val="auto"/>
          <w:spacing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val="0"/>
          <w:bCs/>
          <w:i w:val="0"/>
          <w:caps w:val="0"/>
          <w:snapToGrid w:val="0"/>
          <w:color w:val="auto"/>
          <w:spacing w:val="0"/>
          <w:sz w:val="32"/>
          <w:szCs w:val="32"/>
          <w:highlight w:val="none"/>
        </w:rPr>
        <w:t>根据《</w:t>
      </w:r>
      <w:r>
        <w:rPr>
          <w:rFonts w:hint="default" w:ascii="Times New Roman" w:hAnsi="Times New Roman" w:eastAsia="仿宋_GB2312" w:cs="Times New Roman"/>
          <w:snapToGrid w:val="0"/>
          <w:color w:val="auto"/>
          <w:kern w:val="0"/>
          <w:sz w:val="32"/>
          <w:szCs w:val="32"/>
          <w:highlight w:val="none"/>
          <w:lang w:val="en-US" w:eastAsia="zh-CN" w:bidi="ar"/>
        </w:rPr>
        <w:t>财政部关于开展2022年度中央对地方转移支付预算执行情况绩效自评工作的通知</w:t>
      </w:r>
      <w:r>
        <w:rPr>
          <w:rFonts w:hint="default" w:ascii="Times New Roman" w:hAnsi="Times New Roman" w:eastAsia="仿宋_GB2312" w:cs="Times New Roman"/>
          <w:b w:val="0"/>
          <w:bCs/>
          <w:i w:val="0"/>
          <w:caps w:val="0"/>
          <w:snapToGrid w:val="0"/>
          <w:color w:val="auto"/>
          <w:spacing w:val="0"/>
          <w:sz w:val="32"/>
          <w:szCs w:val="32"/>
          <w:highlight w:val="none"/>
        </w:rPr>
        <w:t>》</w:t>
      </w:r>
      <w:r>
        <w:rPr>
          <w:rFonts w:hint="default" w:ascii="Times New Roman" w:hAnsi="Times New Roman" w:eastAsia="仿宋_GB2312" w:cs="Times New Roman"/>
          <w:b w:val="0"/>
          <w:bCs w:val="0"/>
          <w:snapToGrid w:val="0"/>
          <w:color w:val="auto"/>
          <w:sz w:val="32"/>
          <w:szCs w:val="32"/>
          <w:highlight w:val="none"/>
          <w:lang w:val="en-US" w:eastAsia="zh-CN"/>
        </w:rPr>
        <w:t>（财监〔2023〕1号）</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要求</w:t>
      </w:r>
      <w:r>
        <w:rPr>
          <w:rFonts w:hint="default" w:ascii="Times New Roman" w:hAnsi="Times New Roman" w:eastAsia="仿宋_GB2312" w:cs="Times New Roman"/>
          <w:snapToGrid w:val="0"/>
          <w:color w:val="auto"/>
          <w:kern w:val="0"/>
          <w:sz w:val="32"/>
          <w:szCs w:val="32"/>
          <w:highlight w:val="none"/>
          <w:lang w:val="en-US" w:eastAsia="zh-CN" w:bidi="ar"/>
        </w:rPr>
        <w:t>，我省认真组织开展2022年度中央对地方转移支付预算执行情况</w:t>
      </w:r>
      <w:r>
        <w:rPr>
          <w:rFonts w:hint="default" w:ascii="Times New Roman" w:hAnsi="Times New Roman" w:eastAsia="仿宋_GB2312" w:cs="Times New Roman"/>
          <w:b w:val="0"/>
          <w:bCs/>
          <w:i w:val="0"/>
          <w:caps w:val="0"/>
          <w:snapToGrid w:val="0"/>
          <w:color w:val="auto"/>
          <w:spacing w:val="0"/>
          <w:sz w:val="32"/>
          <w:szCs w:val="32"/>
          <w:highlight w:val="none"/>
        </w:rPr>
        <w:t>绩效</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自评</w:t>
      </w:r>
      <w:r>
        <w:rPr>
          <w:rFonts w:hint="default" w:ascii="Times New Roman" w:hAnsi="Times New Roman" w:eastAsia="仿宋_GB2312" w:cs="Times New Roman"/>
          <w:b w:val="0"/>
          <w:bCs/>
          <w:i w:val="0"/>
          <w:caps w:val="0"/>
          <w:snapToGrid w:val="0"/>
          <w:color w:val="auto"/>
          <w:spacing w:val="0"/>
          <w:sz w:val="32"/>
          <w:szCs w:val="32"/>
          <w:highlight w:val="none"/>
        </w:rPr>
        <w:t>工作</w:t>
      </w:r>
      <w:r>
        <w:rPr>
          <w:rFonts w:hint="default" w:ascii="Times New Roman" w:hAnsi="Times New Roman" w:eastAsia="仿宋_GB2312" w:cs="Times New Roman"/>
          <w:b w:val="0"/>
          <w:bCs/>
          <w:i w:val="0"/>
          <w:caps w:val="0"/>
          <w:snapToGrid w:val="0"/>
          <w:color w:val="auto"/>
          <w:spacing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黑体" w:cs="Times New Roman"/>
          <w:b w:val="0"/>
          <w:bCs w:val="0"/>
          <w:snapToGrid w:val="0"/>
          <w:color w:val="auto"/>
          <w:sz w:val="32"/>
          <w:szCs w:val="32"/>
          <w:highlight w:val="none"/>
        </w:rPr>
        <w:t>一、绩效目标分解下达情况</w:t>
      </w:r>
      <w:r>
        <w:rPr>
          <w:rFonts w:hint="default" w:ascii="Times New Roman" w:hAnsi="Times New Roman" w:eastAsia="黑体" w:cs="Times New Roman"/>
          <w:b w:val="0"/>
          <w:bCs w:val="0"/>
          <w:snapToGrid w:val="0"/>
          <w:color w:val="auto"/>
          <w:sz w:val="32"/>
          <w:szCs w:val="32"/>
          <w:highlight w:val="none"/>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snapToGrid w:val="0"/>
          <w:color w:val="auto"/>
          <w:spacing w:val="0"/>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lang w:val="en-US" w:eastAsia="zh-CN"/>
        </w:rPr>
        <w:t>（一）</w:t>
      </w:r>
      <w:r>
        <w:rPr>
          <w:rFonts w:hint="eastAsia" w:ascii="楷体_GB2312" w:hAnsi="楷体_GB2312" w:eastAsia="楷体_GB2312" w:cs="楷体_GB2312"/>
          <w:b w:val="0"/>
          <w:bCs w:val="0"/>
          <w:snapToGrid w:val="0"/>
          <w:color w:val="auto"/>
          <w:sz w:val="32"/>
          <w:szCs w:val="32"/>
          <w:highlight w:val="none"/>
        </w:rPr>
        <w:t>中央下达</w:t>
      </w:r>
      <w:r>
        <w:rPr>
          <w:rFonts w:hint="eastAsia" w:ascii="楷体_GB2312" w:hAnsi="楷体_GB2312" w:eastAsia="楷体_GB2312" w:cs="楷体_GB2312"/>
          <w:b w:val="0"/>
          <w:bCs w:val="0"/>
          <w:snapToGrid w:val="0"/>
          <w:color w:val="auto"/>
          <w:sz w:val="32"/>
          <w:szCs w:val="32"/>
          <w:highlight w:val="none"/>
          <w:lang w:val="en-US" w:eastAsia="zh-CN"/>
        </w:rPr>
        <w:t>广东省</w:t>
      </w:r>
      <w:r>
        <w:rPr>
          <w:rFonts w:hint="eastAsia" w:ascii="楷体_GB2312" w:hAnsi="楷体_GB2312" w:eastAsia="楷体_GB2312" w:cs="楷体_GB2312"/>
          <w:b w:val="0"/>
          <w:bCs w:val="0"/>
          <w:snapToGrid w:val="0"/>
          <w:color w:val="auto"/>
          <w:sz w:val="32"/>
          <w:szCs w:val="32"/>
          <w:highlight w:val="none"/>
          <w:u w:val="none"/>
          <w:lang w:val="en-US" w:eastAsia="zh-CN"/>
        </w:rPr>
        <w:t>疾病应急救助</w:t>
      </w:r>
      <w:r>
        <w:rPr>
          <w:rFonts w:hint="eastAsia" w:ascii="楷体_GB2312" w:hAnsi="楷体_GB2312" w:eastAsia="楷体_GB2312" w:cs="楷体_GB2312"/>
          <w:b w:val="0"/>
          <w:bCs w:val="0"/>
          <w:snapToGrid w:val="0"/>
          <w:color w:val="auto"/>
          <w:kern w:val="0"/>
          <w:sz w:val="32"/>
          <w:szCs w:val="32"/>
          <w:highlight w:val="none"/>
          <w:lang w:val="en-US" w:eastAsia="zh-CN" w:bidi="ar"/>
        </w:rPr>
        <w:t>项目</w:t>
      </w:r>
      <w:r>
        <w:rPr>
          <w:rFonts w:hint="eastAsia" w:ascii="楷体_GB2312" w:hAnsi="楷体_GB2312" w:eastAsia="楷体_GB2312" w:cs="楷体_GB2312"/>
          <w:b w:val="0"/>
          <w:bCs w:val="0"/>
          <w:snapToGrid w:val="0"/>
          <w:color w:val="auto"/>
          <w:sz w:val="32"/>
          <w:szCs w:val="32"/>
          <w:highlight w:val="none"/>
        </w:rPr>
        <w:t>转移支付预算和</w:t>
      </w:r>
      <w:r>
        <w:rPr>
          <w:rFonts w:hint="eastAsia" w:ascii="楷体_GB2312" w:hAnsi="楷体_GB2312" w:eastAsia="楷体_GB2312" w:cs="楷体_GB2312"/>
          <w:b w:val="0"/>
          <w:bCs w:val="0"/>
          <w:snapToGrid w:val="0"/>
          <w:color w:val="auto"/>
          <w:sz w:val="32"/>
          <w:szCs w:val="32"/>
          <w:highlight w:val="none"/>
          <w:lang w:val="en-US" w:eastAsia="zh-CN"/>
        </w:rPr>
        <w:t>区域</w:t>
      </w:r>
      <w:r>
        <w:rPr>
          <w:rFonts w:hint="eastAsia" w:ascii="楷体_GB2312" w:hAnsi="楷体_GB2312" w:eastAsia="楷体_GB2312" w:cs="楷体_GB2312"/>
          <w:b w:val="0"/>
          <w:bCs w:val="0"/>
          <w:snapToGrid w:val="0"/>
          <w:color w:val="auto"/>
          <w:sz w:val="32"/>
          <w:szCs w:val="32"/>
          <w:highlight w:val="none"/>
        </w:rPr>
        <w:t>绩效目标情况</w:t>
      </w:r>
      <w:r>
        <w:rPr>
          <w:rFonts w:hint="eastAsia" w:ascii="楷体_GB2312" w:hAnsi="楷体_GB2312" w:eastAsia="楷体_GB2312" w:cs="楷体_GB2312"/>
          <w:b w:val="0"/>
          <w:bCs w:val="0"/>
          <w:snapToGrid w:val="0"/>
          <w:color w:val="auto"/>
          <w:sz w:val="32"/>
          <w:szCs w:val="32"/>
          <w:highlight w:val="none"/>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eastAsia" w:ascii="仿宋_GB2312" w:hAnsi="仿宋_GB2312" w:eastAsia="仿宋_GB2312" w:cs="仿宋_GB2312"/>
          <w:b/>
          <w:bCs/>
          <w:snapToGrid w:val="0"/>
          <w:color w:val="auto"/>
          <w:sz w:val="32"/>
          <w:szCs w:val="32"/>
          <w:highlight w:val="none"/>
          <w:lang w:val="en-US" w:eastAsia="zh-CN"/>
        </w:rPr>
        <w:t>.</w:t>
      </w:r>
      <w:r>
        <w:rPr>
          <w:rFonts w:hint="default" w:ascii="Times New Roman" w:hAnsi="Times New Roman" w:cs="Times New Roman"/>
          <w:b/>
          <w:bCs/>
          <w:i w:val="0"/>
          <w:caps w:val="0"/>
          <w:snapToGrid w:val="0"/>
          <w:color w:val="auto"/>
          <w:spacing w:val="0"/>
          <w:sz w:val="32"/>
          <w:szCs w:val="32"/>
          <w:highlight w:val="none"/>
          <w:lang w:val="en-US" w:eastAsia="zh-CN"/>
        </w:rPr>
        <w:t>中央</w:t>
      </w:r>
      <w:r>
        <w:rPr>
          <w:rFonts w:hint="default" w:ascii="Times New Roman" w:hAnsi="Times New Roman" w:eastAsia="仿宋_GB2312" w:cs="Times New Roman"/>
          <w:b/>
          <w:bCs/>
          <w:snapToGrid w:val="0"/>
          <w:color w:val="auto"/>
          <w:sz w:val="32"/>
          <w:szCs w:val="32"/>
          <w:highlight w:val="none"/>
        </w:rPr>
        <w:t>转移支付预算</w:t>
      </w:r>
      <w:r>
        <w:rPr>
          <w:rFonts w:hint="default" w:ascii="Times New Roman" w:hAnsi="Times New Roman" w:eastAsia="仿宋_GB2312" w:cs="Times New Roman"/>
          <w:b/>
          <w:bCs/>
          <w:snapToGrid w:val="0"/>
          <w:color w:val="auto"/>
          <w:sz w:val="32"/>
          <w:szCs w:val="32"/>
          <w:highlight w:val="none"/>
          <w:lang w:val="en-US" w:eastAsia="zh-CN"/>
        </w:rPr>
        <w:t>情况</w:t>
      </w:r>
      <w:r>
        <w:rPr>
          <w:rFonts w:hint="eastAsia" w:cs="Times New Roman"/>
          <w:b/>
          <w:bCs/>
          <w:snapToGrid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国家卫生健康委关于提前下达2022年中央财政医疗救助补助资金预算的通知》（财社〔2021〕164号）《财政部 国家卫生健康委关于下达2022年中央财政医疗救助补助资金预算的通知）》（财社〔2022〕46号，中央财政</w:t>
      </w:r>
      <w:r>
        <w:rPr>
          <w:rFonts w:hint="default" w:ascii="Times New Roman" w:hAnsi="Times New Roman" w:eastAsia="仿宋_GB2312" w:cs="Times New Roman"/>
          <w:snapToGrid w:val="0"/>
          <w:color w:val="auto"/>
          <w:kern w:val="0"/>
          <w:sz w:val="32"/>
          <w:szCs w:val="32"/>
          <w:highlight w:val="none"/>
        </w:rPr>
        <w:t>下达</w:t>
      </w:r>
      <w:r>
        <w:rPr>
          <w:rFonts w:hint="default" w:ascii="Times New Roman" w:hAnsi="Times New Roman" w:eastAsia="仿宋_GB2312" w:cs="Times New Roman"/>
          <w:snapToGrid w:val="0"/>
          <w:color w:val="auto"/>
          <w:kern w:val="0"/>
          <w:sz w:val="32"/>
          <w:szCs w:val="32"/>
          <w:highlight w:val="none"/>
          <w:lang w:eastAsia="zh-CN"/>
        </w:rPr>
        <w:t>我省</w:t>
      </w:r>
      <w:r>
        <w:rPr>
          <w:rFonts w:hint="default" w:ascii="Times New Roman" w:hAnsi="Times New Roman" w:eastAsia="仿宋_GB2312" w:cs="Times New Roman"/>
          <w:snapToGrid w:val="0"/>
          <w:color w:val="auto"/>
          <w:kern w:val="0"/>
          <w:sz w:val="32"/>
          <w:szCs w:val="32"/>
          <w:highlight w:val="none"/>
        </w:rPr>
        <w:t>20</w:t>
      </w:r>
      <w:r>
        <w:rPr>
          <w:rFonts w:hint="default" w:ascii="Times New Roman" w:hAnsi="Times New Roman" w:eastAsia="仿宋_GB2312" w:cs="Times New Roman"/>
          <w:snapToGrid w:val="0"/>
          <w:color w:val="auto"/>
          <w:kern w:val="0"/>
          <w:sz w:val="32"/>
          <w:szCs w:val="32"/>
          <w:highlight w:val="none"/>
          <w:lang w:val="en-US" w:eastAsia="zh-CN"/>
        </w:rPr>
        <w:t>22</w:t>
      </w:r>
      <w:r>
        <w:rPr>
          <w:rFonts w:hint="default" w:ascii="Times New Roman" w:hAnsi="Times New Roman" w:eastAsia="仿宋_GB2312" w:cs="Times New Roman"/>
          <w:snapToGrid w:val="0"/>
          <w:color w:val="auto"/>
          <w:kern w:val="0"/>
          <w:sz w:val="32"/>
          <w:szCs w:val="32"/>
          <w:highlight w:val="none"/>
        </w:rPr>
        <w:t>年</w:t>
      </w:r>
      <w:r>
        <w:rPr>
          <w:rFonts w:hint="default" w:ascii="Times New Roman" w:hAnsi="Times New Roman" w:eastAsia="仿宋_GB2312" w:cs="Times New Roman"/>
          <w:b w:val="0"/>
          <w:bCs w:val="0"/>
          <w:snapToGrid w:val="0"/>
          <w:color w:val="auto"/>
          <w:kern w:val="0"/>
          <w:sz w:val="32"/>
          <w:szCs w:val="32"/>
          <w:highlight w:val="none"/>
          <w:lang w:val="en-US" w:eastAsia="zh-CN" w:bidi="ar"/>
        </w:rPr>
        <w:t>医疗救助补助（</w:t>
      </w:r>
      <w:r>
        <w:rPr>
          <w:rFonts w:hint="default" w:ascii="Times New Roman" w:hAnsi="Times New Roman" w:eastAsia="仿宋_GB2312" w:cs="Times New Roman"/>
          <w:snapToGrid w:val="0"/>
          <w:color w:val="auto"/>
          <w:sz w:val="32"/>
          <w:szCs w:val="32"/>
          <w:highlight w:val="none"/>
        </w:rPr>
        <w:t>疾病应急救助补助资金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rPr>
        <w:t>资金</w:t>
      </w:r>
      <w:r>
        <w:rPr>
          <w:rFonts w:hint="default" w:ascii="Times New Roman" w:hAnsi="Times New Roman" w:eastAsia="仿宋_GB2312" w:cs="Times New Roman"/>
          <w:snapToGrid w:val="0"/>
          <w:color w:val="auto"/>
          <w:kern w:val="0"/>
          <w:sz w:val="32"/>
          <w:szCs w:val="32"/>
          <w:highlight w:val="none"/>
          <w:lang w:val="en-US" w:eastAsia="zh-CN"/>
        </w:rPr>
        <w:t>合计2,497.00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不</w:t>
      </w:r>
      <w:r>
        <w:rPr>
          <w:rFonts w:hint="default" w:ascii="Times New Roman" w:hAnsi="Times New Roman" w:eastAsia="仿宋_GB2312" w:cs="Times New Roman"/>
          <w:snapToGrid w:val="0"/>
          <w:color w:val="auto"/>
          <w:kern w:val="0"/>
          <w:sz w:val="32"/>
          <w:szCs w:val="32"/>
          <w:highlight w:val="none"/>
        </w:rPr>
        <w:t>含</w:t>
      </w:r>
      <w:r>
        <w:rPr>
          <w:rFonts w:hint="default" w:ascii="Times New Roman" w:hAnsi="Times New Roman" w:eastAsia="仿宋_GB2312" w:cs="Times New Roman"/>
          <w:snapToGrid w:val="0"/>
          <w:color w:val="auto"/>
          <w:kern w:val="0"/>
          <w:sz w:val="32"/>
          <w:szCs w:val="32"/>
          <w:highlight w:val="none"/>
          <w:lang w:eastAsia="zh-CN"/>
        </w:rPr>
        <w:t>中央下达</w:t>
      </w:r>
      <w:r>
        <w:rPr>
          <w:rFonts w:hint="default" w:ascii="Times New Roman" w:hAnsi="Times New Roman" w:eastAsia="仿宋_GB2312" w:cs="Times New Roman"/>
          <w:snapToGrid w:val="0"/>
          <w:color w:val="auto"/>
          <w:kern w:val="0"/>
          <w:sz w:val="32"/>
          <w:szCs w:val="32"/>
          <w:highlight w:val="none"/>
        </w:rPr>
        <w:t>深圳</w:t>
      </w:r>
      <w:r>
        <w:rPr>
          <w:rFonts w:hint="default" w:ascii="Times New Roman" w:hAnsi="Times New Roman" w:eastAsia="仿宋_GB2312" w:cs="Times New Roman"/>
          <w:snapToGrid w:val="0"/>
          <w:color w:val="auto"/>
          <w:kern w:val="0"/>
          <w:sz w:val="32"/>
          <w:szCs w:val="32"/>
          <w:highlight w:val="none"/>
          <w:lang w:val="en-US" w:eastAsia="zh-CN"/>
        </w:rPr>
        <w:t>，下同</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专项用于</w:t>
      </w:r>
      <w:r>
        <w:rPr>
          <w:rFonts w:hint="default" w:ascii="Times New Roman" w:hAnsi="Times New Roman" w:eastAsia="仿宋_GB2312" w:cs="Times New Roman"/>
          <w:b w:val="0"/>
          <w:bCs w:val="0"/>
          <w:snapToGrid w:val="0"/>
          <w:color w:val="auto"/>
          <w:sz w:val="32"/>
          <w:szCs w:val="32"/>
          <w:highlight w:val="none"/>
          <w:lang w:val="en-US" w:eastAsia="zh-CN"/>
        </w:rPr>
        <w:t>落实疾病应急救治制度，解决困难群体急救费用保障问题，增强人民群众获得感，对省内20个地市医疗机构收治的</w:t>
      </w:r>
      <w:r>
        <w:rPr>
          <w:rFonts w:hint="default" w:ascii="Times New Roman" w:hAnsi="Times New Roman" w:eastAsia="仿宋_GB2312" w:cs="Times New Roman"/>
          <w:b w:val="0"/>
          <w:bCs w:val="0"/>
          <w:snapToGrid w:val="0"/>
          <w:color w:val="auto"/>
          <w:sz w:val="32"/>
          <w:szCs w:val="32"/>
          <w:highlight w:val="none"/>
          <w:lang w:eastAsia="zh-CN"/>
        </w:rPr>
        <w:t>身份不明或无力支付费用的急危重伤病患者等进行急救医疗救助。</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default" w:ascii="仿宋_GB2312" w:hAnsi="仿宋_GB2312" w:eastAsia="仿宋_GB2312" w:cs="仿宋_GB2312"/>
          <w:b/>
          <w:bCs/>
          <w:snapToGrid w:val="0"/>
          <w:color w:val="auto"/>
          <w:sz w:val="32"/>
          <w:szCs w:val="32"/>
          <w:highlight w:val="none"/>
          <w:lang w:val="en-US" w:eastAsia="zh-CN"/>
        </w:rPr>
        <w:t>.中</w:t>
      </w:r>
      <w:r>
        <w:rPr>
          <w:rFonts w:hint="default" w:ascii="Times New Roman" w:hAnsi="Times New Roman" w:cs="Times New Roman"/>
          <w:b/>
          <w:bCs/>
          <w:i w:val="0"/>
          <w:caps w:val="0"/>
          <w:snapToGrid w:val="0"/>
          <w:color w:val="auto"/>
          <w:spacing w:val="0"/>
          <w:sz w:val="32"/>
          <w:szCs w:val="32"/>
          <w:highlight w:val="none"/>
          <w:lang w:val="en-US" w:eastAsia="zh-CN"/>
        </w:rPr>
        <w:t>央</w:t>
      </w:r>
      <w:r>
        <w:rPr>
          <w:rFonts w:hint="default" w:ascii="Times New Roman" w:hAnsi="Times New Roman" w:eastAsia="仿宋_GB2312" w:cs="Times New Roman"/>
          <w:b/>
          <w:bCs/>
          <w:i w:val="0"/>
          <w:caps w:val="0"/>
          <w:snapToGrid w:val="0"/>
          <w:color w:val="auto"/>
          <w:spacing w:val="0"/>
          <w:sz w:val="32"/>
          <w:szCs w:val="32"/>
          <w:highlight w:val="none"/>
          <w:lang w:val="en-US" w:eastAsia="zh-CN"/>
        </w:rPr>
        <w:t>区域绩效目标情况</w:t>
      </w:r>
      <w:r>
        <w:rPr>
          <w:rFonts w:hint="eastAsia" w:cs="Times New Roman"/>
          <w:b/>
          <w:bCs/>
          <w:i w:val="0"/>
          <w:caps w:val="0"/>
          <w:snapToGrid w:val="0"/>
          <w:color w:val="auto"/>
          <w:spacing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bidi="ar"/>
        </w:rPr>
        <w:t>根据《中央对地方专项转移支付区域绩效目标表》，中央下达了我省2022年</w:t>
      </w:r>
      <w:r>
        <w:rPr>
          <w:rFonts w:hint="default" w:ascii="Times New Roman" w:hAnsi="Times New Roman" w:cs="Times New Roman"/>
          <w:snapToGrid w:val="0"/>
          <w:color w:val="auto"/>
          <w:kern w:val="0"/>
          <w:sz w:val="32"/>
          <w:szCs w:val="32"/>
          <w:highlight w:val="none"/>
          <w:lang w:val="en-US" w:eastAsia="zh-CN" w:bidi="ar"/>
        </w:rPr>
        <w:t>度</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snapToGrid w:val="0"/>
          <w:color w:val="auto"/>
          <w:kern w:val="0"/>
          <w:sz w:val="32"/>
          <w:szCs w:val="32"/>
          <w:highlight w:val="none"/>
          <w:lang w:val="en-US" w:eastAsia="zh-CN" w:bidi="ar"/>
        </w:rPr>
        <w:t>疾病应急救助制度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和绩效指标。</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cs="Times New Roman"/>
          <w:b/>
          <w:bCs/>
          <w:i w:val="0"/>
          <w:caps w:val="0"/>
          <w:snapToGrid w:val="0"/>
          <w:color w:val="auto"/>
          <w:spacing w:val="0"/>
          <w:sz w:val="32"/>
          <w:szCs w:val="32"/>
          <w:highlight w:val="none"/>
          <w:lang w:val="en-US" w:eastAsia="zh-CN"/>
        </w:rPr>
        <w:t>中央</w:t>
      </w:r>
      <w:r>
        <w:rPr>
          <w:rFonts w:hint="default" w:ascii="Times New Roman" w:hAnsi="Times New Roman" w:eastAsia="仿宋_GB2312" w:cs="Times New Roman"/>
          <w:b/>
          <w:bCs/>
          <w:snapToGrid w:val="0"/>
          <w:color w:val="auto"/>
          <w:kern w:val="0"/>
          <w:sz w:val="32"/>
          <w:szCs w:val="32"/>
          <w:highlight w:val="none"/>
          <w:lang w:val="en-US" w:eastAsia="zh-CN" w:bidi="ar"/>
        </w:rPr>
        <w:t>年度</w:t>
      </w:r>
      <w:r>
        <w:rPr>
          <w:rFonts w:hint="default" w:ascii="Times New Roman" w:hAnsi="Times New Roman" w:eastAsia="仿宋_GB2312" w:cs="Times New Roman"/>
          <w:b/>
          <w:bCs/>
          <w:snapToGrid w:val="0"/>
          <w:color w:val="auto"/>
          <w:sz w:val="32"/>
          <w:szCs w:val="32"/>
          <w:highlight w:val="none"/>
          <w:lang w:val="en-US" w:eastAsia="zh-CN"/>
        </w:rPr>
        <w:t>总体</w:t>
      </w:r>
      <w:r>
        <w:rPr>
          <w:rFonts w:hint="default" w:ascii="Times New Roman" w:hAnsi="Times New Roman" w:eastAsia="仿宋_GB2312" w:cs="Times New Roman"/>
          <w:b/>
          <w:bCs/>
          <w:snapToGrid w:val="0"/>
          <w:color w:val="auto"/>
          <w:sz w:val="32"/>
          <w:szCs w:val="32"/>
          <w:highlight w:val="none"/>
        </w:rPr>
        <w:t>绩效目标</w:t>
      </w:r>
      <w:r>
        <w:rPr>
          <w:rFonts w:hint="eastAsia" w:cs="Times New Roman"/>
          <w:b/>
          <w:bCs/>
          <w:snapToGrid w:val="0"/>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b w:val="0"/>
          <w:bCs/>
          <w:snapToGrid w:val="0"/>
          <w:color w:val="auto"/>
          <w:sz w:val="32"/>
          <w:szCs w:val="32"/>
          <w:highlight w:val="none"/>
          <w:u w:val="none"/>
          <w:lang w:val="en-US" w:eastAsia="zh-CN"/>
        </w:rPr>
        <w:t>疾病应急救助</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包括：</w:t>
      </w:r>
      <w:r>
        <w:rPr>
          <w:rFonts w:hint="default" w:ascii="Times New Roman" w:hAnsi="Times New Roman" w:eastAsia="仿宋_GB2312" w:cs="Times New Roman"/>
          <w:snapToGrid w:val="0"/>
          <w:color w:val="auto"/>
          <w:kern w:val="0"/>
          <w:sz w:val="32"/>
          <w:szCs w:val="32"/>
          <w:highlight w:val="none"/>
          <w:lang w:val="en-US" w:eastAsia="zh-CN" w:bidi="ar"/>
        </w:rPr>
        <w:t>1</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身份不明或无力支付费用的急危重伤病患者得到及时、有效的救助；2</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补助医疗机构资金及时拨付到位</w:t>
      </w:r>
      <w:r>
        <w:rPr>
          <w:rFonts w:hint="default" w:ascii="Times New Roman" w:hAnsi="Times New Roman" w:cs="Times New Roman"/>
          <w:snapToGrid w:val="0"/>
          <w:color w:val="auto"/>
          <w:kern w:val="0"/>
          <w:sz w:val="32"/>
          <w:szCs w:val="32"/>
          <w:highlight w:val="none"/>
          <w:lang w:val="en-US" w:eastAsia="zh-CN" w:bidi="ar"/>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default" w:ascii="Times New Roman" w:hAnsi="Times New Roman" w:cs="Times New Roman"/>
          <w:b/>
          <w:bCs/>
          <w:i w:val="0"/>
          <w:caps w:val="0"/>
          <w:snapToGrid w:val="0"/>
          <w:color w:val="auto"/>
          <w:spacing w:val="0"/>
          <w:sz w:val="32"/>
          <w:szCs w:val="32"/>
          <w:highlight w:val="none"/>
          <w:lang w:val="en-US" w:eastAsia="zh-CN"/>
        </w:rPr>
        <w:t>中央</w:t>
      </w:r>
      <w:r>
        <w:rPr>
          <w:rFonts w:hint="default" w:ascii="Times New Roman" w:hAnsi="Times New Roman" w:eastAsia="仿宋_GB2312" w:cs="Times New Roman"/>
          <w:b/>
          <w:bCs/>
          <w:snapToGrid w:val="0"/>
          <w:color w:val="auto"/>
          <w:kern w:val="0"/>
          <w:sz w:val="32"/>
          <w:szCs w:val="32"/>
          <w:highlight w:val="none"/>
          <w:lang w:val="en-US" w:eastAsia="zh-CN" w:bidi="ar"/>
        </w:rPr>
        <w:t>绩效指标</w:t>
      </w:r>
      <w:r>
        <w:rPr>
          <w:rFonts w:hint="eastAsia" w:cs="Times New Roman"/>
          <w:b/>
          <w:bCs/>
          <w:snapToGrid w:val="0"/>
          <w:color w:val="auto"/>
          <w:kern w:val="0"/>
          <w:sz w:val="32"/>
          <w:szCs w:val="32"/>
          <w:highlight w:val="none"/>
          <w:lang w:val="en-US" w:eastAsia="zh-CN" w:bidi="ar"/>
        </w:rPr>
        <w:t>。</w:t>
      </w:r>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napToGrid w:val="0"/>
          <w:color w:val="auto"/>
          <w:highlight w:val="none"/>
          <w:lang w:val="en-US" w:eastAsia="zh-CN"/>
        </w:rPr>
      </w:pPr>
      <w:r>
        <w:rPr>
          <w:rFonts w:hint="default" w:ascii="Times New Roman" w:hAnsi="Times New Roman" w:eastAsia="仿宋_GB2312" w:cs="Times New Roman"/>
          <w:b w:val="0"/>
          <w:bCs/>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b w:val="0"/>
          <w:bCs/>
          <w:snapToGrid w:val="0"/>
          <w:color w:val="auto"/>
          <w:sz w:val="32"/>
          <w:szCs w:val="32"/>
          <w:highlight w:val="none"/>
          <w:u w:val="none"/>
          <w:lang w:val="en-US" w:eastAsia="zh-CN"/>
        </w:rPr>
        <w:t>疾病应急救助</w:t>
      </w:r>
      <w:r>
        <w:rPr>
          <w:rFonts w:hint="default" w:ascii="Times New Roman" w:hAnsi="Times New Roman" w:eastAsia="仿宋_GB2312" w:cs="Times New Roman"/>
          <w:b w:val="0"/>
          <w:bCs/>
          <w:snapToGrid w:val="0"/>
          <w:color w:val="auto"/>
          <w:kern w:val="0"/>
          <w:sz w:val="32"/>
          <w:szCs w:val="32"/>
          <w:highlight w:val="none"/>
          <w:lang w:val="en-US" w:eastAsia="zh-CN" w:bidi="ar"/>
        </w:rPr>
        <w:t>项目绩效指标包括</w:t>
      </w:r>
      <w:r>
        <w:rPr>
          <w:rFonts w:hint="default" w:ascii="Times New Roman" w:hAnsi="Times New Roman" w:eastAsia="仿宋_GB2312" w:cs="Times New Roman"/>
          <w:b w:val="0"/>
          <w:bCs/>
          <w:snapToGrid w:val="0"/>
          <w:color w:val="auto"/>
          <w:kern w:val="0"/>
          <w:sz w:val="32"/>
          <w:szCs w:val="32"/>
          <w:highlight w:val="none"/>
          <w:lang w:val="en-US" w:eastAsia="zh-CN"/>
        </w:rPr>
        <w:t>公安机关出具身份核查结论的比例、民政部门协助核实情况的比例、</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救治对象为符合制度要求的患者比率等10个绩效指标，其中产出指标8个，效益指标1个，满意度指标1个（</w:t>
      </w:r>
      <w:r>
        <w:rPr>
          <w:rFonts w:hint="default" w:ascii="Times New Roman" w:hAnsi="Times New Roman" w:cs="Times New Roman"/>
          <w:b w:val="0"/>
          <w:bCs/>
          <w:i w:val="0"/>
          <w:iCs w:val="0"/>
          <w:snapToGrid w:val="0"/>
          <w:color w:val="auto"/>
          <w:kern w:val="0"/>
          <w:sz w:val="32"/>
          <w:szCs w:val="32"/>
          <w:highlight w:val="none"/>
          <w:u w:val="none"/>
          <w:lang w:val="en-US" w:eastAsia="zh-CN" w:bidi="ar"/>
        </w:rPr>
        <w:t>详见附</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val="en-US" w:eastAsia="zh-CN"/>
        </w:rPr>
      </w:pPr>
      <w:r>
        <w:rPr>
          <w:rFonts w:hint="default" w:ascii="楷体_GB2312" w:hAnsi="楷体_GB2312" w:eastAsia="楷体_GB2312" w:cs="楷体_GB2312"/>
          <w:b w:val="0"/>
          <w:bCs w:val="0"/>
          <w:snapToGrid w:val="0"/>
          <w:color w:val="auto"/>
          <w:sz w:val="32"/>
          <w:szCs w:val="32"/>
          <w:highlight w:val="none"/>
          <w:lang w:val="en-US" w:eastAsia="zh-CN"/>
        </w:rPr>
        <w:t>（二）省内资金安排、分解下达预算和绩效目标情况</w:t>
      </w:r>
      <w:r>
        <w:rPr>
          <w:rFonts w:hint="eastAsia" w:ascii="楷体_GB2312" w:hAnsi="楷体_GB2312" w:eastAsia="楷体_GB2312" w:cs="楷体_GB2312"/>
          <w:b w:val="0"/>
          <w:bCs w:val="0"/>
          <w:snapToGrid w:val="0"/>
          <w:color w:val="auto"/>
          <w:sz w:val="32"/>
          <w:szCs w:val="32"/>
          <w:highlight w:val="none"/>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仿宋_GB2312" w:hAnsi="仿宋_GB2312" w:eastAsia="仿宋_GB2312" w:cs="仿宋_GB2312"/>
          <w:b/>
          <w:bCs/>
          <w:snapToGrid w:val="0"/>
          <w:color w:val="auto"/>
          <w:sz w:val="32"/>
          <w:szCs w:val="32"/>
          <w:highlight w:val="none"/>
          <w:lang w:val="en-US" w:eastAsia="zh-CN"/>
        </w:rPr>
        <w:t>.省</w:t>
      </w:r>
      <w:r>
        <w:rPr>
          <w:rFonts w:hint="default" w:ascii="Times New Roman" w:hAnsi="Times New Roman" w:eastAsia="仿宋_GB2312" w:cs="Times New Roman"/>
          <w:b/>
          <w:bCs/>
          <w:snapToGrid w:val="0"/>
          <w:color w:val="auto"/>
          <w:sz w:val="32"/>
          <w:szCs w:val="32"/>
          <w:highlight w:val="none"/>
        </w:rPr>
        <w:t>内资金安排、分解下达预算</w:t>
      </w:r>
      <w:r>
        <w:rPr>
          <w:rFonts w:hint="default" w:ascii="Times New Roman" w:hAnsi="Times New Roman" w:eastAsia="仿宋_GB2312" w:cs="Times New Roman"/>
          <w:b/>
          <w:bCs/>
          <w:snapToGrid w:val="0"/>
          <w:color w:val="auto"/>
          <w:sz w:val="32"/>
          <w:szCs w:val="32"/>
          <w:highlight w:val="none"/>
          <w:lang w:val="en-US" w:eastAsia="zh-CN"/>
        </w:rPr>
        <w:t>情况</w:t>
      </w:r>
      <w:r>
        <w:rPr>
          <w:rFonts w:hint="eastAsia" w:cs="Times New Roman"/>
          <w:b/>
          <w:bCs/>
          <w:snapToGrid w:val="0"/>
          <w:color w:val="auto"/>
          <w:sz w:val="32"/>
          <w:szCs w:val="32"/>
          <w:highlight w:val="none"/>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cs="Times New Roman"/>
          <w:b w:val="0"/>
          <w:bCs w:val="0"/>
          <w:snapToGrid w:val="0"/>
          <w:color w:val="auto"/>
          <w:kern w:val="0"/>
          <w:sz w:val="32"/>
          <w:szCs w:val="32"/>
          <w:highlight w:val="none"/>
          <w:lang w:val="en-US" w:eastAsia="zh-CN" w:bidi="ar"/>
        </w:rPr>
        <w:t>根</w:t>
      </w:r>
      <w:r>
        <w:rPr>
          <w:rFonts w:hint="default" w:ascii="Times New Roman" w:hAnsi="Times New Roman" w:eastAsia="仿宋_GB2312" w:cs="Times New Roman"/>
          <w:b w:val="0"/>
          <w:bCs w:val="0"/>
          <w:snapToGrid w:val="0"/>
          <w:color w:val="auto"/>
          <w:kern w:val="0"/>
          <w:sz w:val="32"/>
          <w:szCs w:val="32"/>
          <w:highlight w:val="none"/>
          <w:lang w:val="en-US" w:eastAsia="zh-CN" w:bidi="ar"/>
        </w:rPr>
        <w:t>据中央</w:t>
      </w:r>
      <w:r>
        <w:rPr>
          <w:rFonts w:hint="default" w:ascii="Times New Roman" w:hAnsi="Times New Roman" w:cs="Times New Roman"/>
          <w:b w:val="0"/>
          <w:bCs w:val="0"/>
          <w:snapToGrid w:val="0"/>
          <w:color w:val="auto"/>
          <w:kern w:val="0"/>
          <w:sz w:val="32"/>
          <w:szCs w:val="32"/>
          <w:highlight w:val="none"/>
          <w:lang w:val="en-US" w:eastAsia="zh-CN" w:bidi="ar"/>
        </w:rPr>
        <w:t>和省专项资金管理规定，收到中央补助资金通知后，</w:t>
      </w:r>
      <w:r>
        <w:rPr>
          <w:rFonts w:hint="default" w:ascii="Times New Roman" w:hAnsi="Times New Roman" w:eastAsia="仿宋_GB2312" w:cs="Times New Roman"/>
          <w:snapToGrid w:val="0"/>
          <w:color w:val="auto"/>
          <w:kern w:val="0"/>
          <w:sz w:val="32"/>
          <w:szCs w:val="32"/>
          <w:highlight w:val="none"/>
          <w:lang w:val="en-US" w:eastAsia="zh-CN" w:bidi="ar"/>
        </w:rPr>
        <w:t>省卫生健康委</w:t>
      </w:r>
      <w:r>
        <w:rPr>
          <w:rFonts w:hint="default" w:ascii="Times New Roman" w:hAnsi="Times New Roman" w:cs="Times New Roman"/>
          <w:snapToGrid w:val="0"/>
          <w:color w:val="auto"/>
          <w:kern w:val="0"/>
          <w:sz w:val="32"/>
          <w:szCs w:val="32"/>
          <w:highlight w:val="none"/>
          <w:lang w:val="en-US" w:eastAsia="zh-CN" w:bidi="ar"/>
        </w:rPr>
        <w:t>迅速组织</w:t>
      </w:r>
      <w:r>
        <w:rPr>
          <w:rFonts w:hint="default" w:ascii="Times New Roman" w:hAnsi="Times New Roman" w:cs="Times New Roman"/>
          <w:b w:val="0"/>
          <w:bCs w:val="0"/>
          <w:snapToGrid w:val="0"/>
          <w:color w:val="auto"/>
          <w:kern w:val="0"/>
          <w:sz w:val="32"/>
          <w:szCs w:val="32"/>
          <w:highlight w:val="none"/>
          <w:lang w:val="en-US" w:eastAsia="zh-CN" w:bidi="ar"/>
        </w:rPr>
        <w:t>同步编报专项</w:t>
      </w:r>
      <w:r>
        <w:rPr>
          <w:rFonts w:hint="default" w:ascii="Times New Roman" w:hAnsi="Times New Roman" w:eastAsia="仿宋_GB2312" w:cs="Times New Roman"/>
          <w:snapToGrid w:val="0"/>
          <w:color w:val="auto"/>
          <w:kern w:val="0"/>
          <w:sz w:val="32"/>
          <w:szCs w:val="32"/>
          <w:highlight w:val="none"/>
          <w:lang w:val="en-US" w:eastAsia="zh-CN" w:bidi="ar"/>
        </w:rPr>
        <w:t>资金</w:t>
      </w:r>
      <w:r>
        <w:rPr>
          <w:rFonts w:hint="default" w:ascii="Times New Roman" w:hAnsi="Times New Roman" w:cs="Times New Roman"/>
          <w:snapToGrid w:val="0"/>
          <w:color w:val="auto"/>
          <w:kern w:val="0"/>
          <w:sz w:val="32"/>
          <w:szCs w:val="32"/>
          <w:highlight w:val="none"/>
          <w:lang w:val="en-US" w:eastAsia="zh-CN" w:bidi="ar"/>
        </w:rPr>
        <w:t>绩效目标申报表和</w:t>
      </w:r>
      <w:r>
        <w:rPr>
          <w:rFonts w:hint="default" w:ascii="Times New Roman" w:hAnsi="Times New Roman" w:eastAsia="仿宋_GB2312" w:cs="Times New Roman"/>
          <w:snapToGrid w:val="0"/>
          <w:color w:val="auto"/>
          <w:kern w:val="0"/>
          <w:sz w:val="32"/>
          <w:szCs w:val="32"/>
          <w:highlight w:val="none"/>
          <w:lang w:val="en-US" w:eastAsia="zh-CN" w:bidi="ar"/>
        </w:rPr>
        <w:t>分配方案，</w:t>
      </w:r>
      <w:r>
        <w:rPr>
          <w:rFonts w:hint="default" w:ascii="Times New Roman" w:hAnsi="Times New Roman" w:cs="Times New Roman"/>
          <w:snapToGrid w:val="0"/>
          <w:color w:val="auto"/>
          <w:kern w:val="0"/>
          <w:sz w:val="32"/>
          <w:szCs w:val="32"/>
          <w:highlight w:val="none"/>
          <w:lang w:val="en-US" w:eastAsia="zh-CN" w:bidi="ar"/>
        </w:rPr>
        <w:t>并经委领导班子集体审议通过后报</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省财政厅</w:t>
      </w:r>
      <w:r>
        <w:rPr>
          <w:rFonts w:hint="default" w:ascii="Times New Roman" w:hAnsi="Times New Roman" w:cs="Times New Roman"/>
          <w:b w:val="0"/>
          <w:bCs w:val="0"/>
          <w:snapToGrid w:val="0"/>
          <w:color w:val="auto"/>
          <w:kern w:val="0"/>
          <w:sz w:val="32"/>
          <w:szCs w:val="32"/>
          <w:highlight w:val="none"/>
          <w:lang w:val="en-US" w:eastAsia="zh-CN" w:bidi="ar"/>
        </w:rPr>
        <w:t>审批。2021年12月和2022年6月</w:t>
      </w:r>
      <w:r>
        <w:rPr>
          <w:rFonts w:hint="default" w:ascii="Times New Roman" w:hAnsi="Times New Roman" w:eastAsia="仿宋_GB2312" w:cs="Times New Roman"/>
          <w:b w:val="0"/>
          <w:bCs w:val="0"/>
          <w:snapToGrid w:val="0"/>
          <w:color w:val="auto"/>
          <w:kern w:val="0"/>
          <w:sz w:val="32"/>
          <w:szCs w:val="32"/>
          <w:highlight w:val="none"/>
          <w:lang w:val="en-US" w:eastAsia="zh-CN" w:bidi="ar"/>
        </w:rPr>
        <w:t>通过《广东省财政厅关于提前下达2022年中央财政医疗救助补助资金（疾病应急救助）的通知》（粤财社〔2021〕313号）</w:t>
      </w:r>
      <w:r>
        <w:rPr>
          <w:rFonts w:hint="default" w:ascii="Times New Roman" w:hAnsi="Times New Roman" w:cs="Times New Roman"/>
          <w:b w:val="0"/>
          <w:bCs w:val="0"/>
          <w:snapToGrid w:val="0"/>
          <w:color w:val="auto"/>
          <w:kern w:val="0"/>
          <w:sz w:val="32"/>
          <w:szCs w:val="32"/>
          <w:highlight w:val="none"/>
          <w:lang w:val="en-US" w:eastAsia="zh-CN" w:bidi="ar"/>
        </w:rPr>
        <w:t>和</w:t>
      </w:r>
      <w:r>
        <w:rPr>
          <w:rFonts w:hint="default" w:ascii="Times New Roman" w:hAnsi="Times New Roman" w:eastAsia="仿宋_GB2312" w:cs="Times New Roman"/>
          <w:b w:val="0"/>
          <w:bCs w:val="0"/>
          <w:snapToGrid w:val="0"/>
          <w:color w:val="auto"/>
          <w:kern w:val="0"/>
          <w:sz w:val="32"/>
          <w:szCs w:val="32"/>
          <w:highlight w:val="none"/>
          <w:lang w:val="en-US" w:eastAsia="zh-CN" w:bidi="ar"/>
        </w:rPr>
        <w:t>《广东省财政厅关于下达2022年中央财政医疗救助补助（疾病应急救助）第二批资金预算的通知》（粤财社〔2022〕113号），</w:t>
      </w:r>
      <w:r>
        <w:rPr>
          <w:rFonts w:hint="default" w:ascii="Times New Roman" w:hAnsi="Times New Roman" w:cs="Times New Roman"/>
          <w:b w:val="0"/>
          <w:bCs w:val="0"/>
          <w:snapToGrid w:val="0"/>
          <w:color w:val="auto"/>
          <w:kern w:val="0"/>
          <w:sz w:val="32"/>
          <w:szCs w:val="32"/>
          <w:highlight w:val="none"/>
          <w:lang w:val="en-US" w:eastAsia="zh-CN" w:bidi="ar"/>
        </w:rPr>
        <w:t>分两批</w:t>
      </w:r>
      <w:r>
        <w:rPr>
          <w:rFonts w:hint="default" w:ascii="Times New Roman" w:hAnsi="Times New Roman" w:eastAsia="仿宋_GB2312" w:cs="Times New Roman"/>
          <w:b w:val="0"/>
          <w:bCs w:val="0"/>
          <w:snapToGrid w:val="0"/>
          <w:color w:val="auto"/>
          <w:kern w:val="0"/>
          <w:sz w:val="32"/>
          <w:szCs w:val="32"/>
          <w:highlight w:val="none"/>
          <w:lang w:val="en-US" w:eastAsia="zh-CN" w:bidi="ar"/>
        </w:rPr>
        <w:t>向20个地市</w:t>
      </w:r>
      <w:r>
        <w:rPr>
          <w:rFonts w:hint="default" w:ascii="Times New Roman" w:hAnsi="Times New Roman" w:cs="Times New Roman"/>
          <w:b w:val="0"/>
          <w:bCs w:val="0"/>
          <w:snapToGrid w:val="0"/>
          <w:color w:val="auto"/>
          <w:kern w:val="0"/>
          <w:sz w:val="32"/>
          <w:szCs w:val="32"/>
          <w:highlight w:val="none"/>
          <w:lang w:val="en-US" w:eastAsia="zh-CN" w:bidi="ar"/>
        </w:rPr>
        <w:t>共</w:t>
      </w:r>
      <w:r>
        <w:rPr>
          <w:rFonts w:hint="default" w:ascii="Times New Roman" w:hAnsi="Times New Roman" w:eastAsia="仿宋_GB2312" w:cs="Times New Roman"/>
          <w:b w:val="0"/>
          <w:bCs w:val="0"/>
          <w:snapToGrid w:val="0"/>
          <w:color w:val="auto"/>
          <w:kern w:val="0"/>
          <w:sz w:val="32"/>
          <w:szCs w:val="32"/>
          <w:highlight w:val="none"/>
          <w:lang w:val="en-US" w:eastAsia="zh-CN" w:bidi="ar"/>
        </w:rPr>
        <w:t>分解下达中央补助资金</w:t>
      </w:r>
      <w:r>
        <w:rPr>
          <w:rFonts w:hint="default" w:ascii="Times New Roman" w:hAnsi="Times New Roman" w:eastAsia="仿宋_GB2312" w:cs="Times New Roman"/>
          <w:snapToGrid w:val="0"/>
          <w:color w:val="auto"/>
          <w:kern w:val="0"/>
          <w:sz w:val="32"/>
          <w:szCs w:val="32"/>
          <w:highlight w:val="none"/>
          <w:lang w:val="en-US" w:eastAsia="zh-CN"/>
        </w:rPr>
        <w:t>2,497.00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见表</w:t>
      </w:r>
      <w:r>
        <w:rPr>
          <w:rFonts w:hint="default" w:ascii="Times New Roman" w:hAnsi="Times New Roman" w:cs="Times New Roman"/>
          <w:snapToGrid w:val="0"/>
          <w:color w:val="auto"/>
          <w:kern w:val="0"/>
          <w:sz w:val="32"/>
          <w:szCs w:val="32"/>
          <w:highlight w:val="none"/>
          <w:lang w:val="en-US" w:eastAsia="zh-CN"/>
        </w:rPr>
        <w:t>1</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，专项用于我省</w:t>
      </w:r>
      <w:r>
        <w:rPr>
          <w:rFonts w:hint="default" w:ascii="Times New Roman" w:hAnsi="Times New Roman" w:eastAsia="仿宋_GB2312" w:cs="Times New Roman"/>
          <w:b w:val="0"/>
          <w:bCs/>
          <w:snapToGrid w:val="0"/>
          <w:color w:val="auto"/>
          <w:sz w:val="32"/>
          <w:szCs w:val="32"/>
          <w:highlight w:val="none"/>
          <w:u w:val="none"/>
          <w:lang w:val="en-US" w:eastAsia="zh-CN"/>
        </w:rPr>
        <w:t>疾病应急救助基金的补助</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另外，省财政安排医疗救助补助（</w:t>
      </w:r>
      <w:r>
        <w:rPr>
          <w:rFonts w:hint="default" w:ascii="Times New Roman" w:hAnsi="Times New Roman" w:eastAsia="仿宋_GB2312" w:cs="Times New Roman"/>
          <w:snapToGrid w:val="0"/>
          <w:color w:val="auto"/>
          <w:sz w:val="32"/>
          <w:szCs w:val="32"/>
          <w:highlight w:val="none"/>
        </w:rPr>
        <w:t>疾病应急救助补助资金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）项目配套资金2,000.00万元。</w:t>
      </w:r>
      <w:r>
        <w:rPr>
          <w:rFonts w:hint="default" w:ascii="Times New Roman" w:hAnsi="Times New Roman" w:eastAsia="仿宋_GB2312" w:cs="Times New Roman"/>
          <w:snapToGrid w:val="0"/>
          <w:color w:val="auto"/>
          <w:kern w:val="0"/>
          <w:sz w:val="32"/>
          <w:szCs w:val="32"/>
          <w:highlight w:val="none"/>
          <w:lang w:val="en-US" w:eastAsia="zh-CN" w:bidi="ar"/>
        </w:rPr>
        <w:t>截止2022年</w:t>
      </w:r>
      <w:r>
        <w:rPr>
          <w:rFonts w:hint="default" w:ascii="Times New Roman" w:hAnsi="Times New Roman" w:cs="Times New Roman"/>
          <w:snapToGrid w:val="0"/>
          <w:color w:val="auto"/>
          <w:kern w:val="0"/>
          <w:sz w:val="32"/>
          <w:szCs w:val="32"/>
          <w:highlight w:val="none"/>
          <w:lang w:val="en-US" w:eastAsia="zh-CN" w:bidi="ar"/>
        </w:rPr>
        <w:t>6</w:t>
      </w:r>
      <w:r>
        <w:rPr>
          <w:rFonts w:hint="default" w:ascii="Times New Roman" w:hAnsi="Times New Roman" w:eastAsia="仿宋_GB2312" w:cs="Times New Roman"/>
          <w:snapToGrid w:val="0"/>
          <w:color w:val="auto"/>
          <w:kern w:val="0"/>
          <w:sz w:val="32"/>
          <w:szCs w:val="32"/>
          <w:highlight w:val="none"/>
          <w:lang w:val="en-US" w:eastAsia="zh-CN" w:bidi="ar"/>
        </w:rPr>
        <w:t>月</w:t>
      </w:r>
      <w:r>
        <w:rPr>
          <w:rFonts w:hint="default" w:ascii="Times New Roman" w:hAnsi="Times New Roman" w:cs="Times New Roman"/>
          <w:snapToGrid w:val="0"/>
          <w:color w:val="auto"/>
          <w:kern w:val="0"/>
          <w:sz w:val="32"/>
          <w:szCs w:val="32"/>
          <w:highlight w:val="none"/>
          <w:lang w:val="en-US" w:eastAsia="zh-CN" w:bidi="ar"/>
        </w:rPr>
        <w:t>9</w:t>
      </w:r>
      <w:r>
        <w:rPr>
          <w:rFonts w:hint="default" w:ascii="Times New Roman" w:hAnsi="Times New Roman" w:eastAsia="仿宋_GB2312" w:cs="Times New Roman"/>
          <w:snapToGrid w:val="0"/>
          <w:color w:val="auto"/>
          <w:kern w:val="0"/>
          <w:sz w:val="32"/>
          <w:szCs w:val="32"/>
          <w:highlight w:val="none"/>
          <w:lang w:val="en-US" w:eastAsia="zh-CN" w:bidi="ar"/>
        </w:rPr>
        <w:t>日，中央补助资金和省财政</w:t>
      </w:r>
      <w:r>
        <w:rPr>
          <w:rFonts w:hint="default" w:ascii="Times New Roman" w:hAnsi="Times New Roman" w:cs="Times New Roman"/>
          <w:snapToGrid w:val="0"/>
          <w:color w:val="auto"/>
          <w:kern w:val="0"/>
          <w:sz w:val="32"/>
          <w:szCs w:val="32"/>
          <w:highlight w:val="none"/>
          <w:lang w:val="en-US" w:eastAsia="zh-CN" w:bidi="ar"/>
        </w:rPr>
        <w:t>配套</w:t>
      </w:r>
      <w:r>
        <w:rPr>
          <w:rFonts w:hint="default" w:ascii="Times New Roman" w:hAnsi="Times New Roman" w:eastAsia="仿宋_GB2312" w:cs="Times New Roman"/>
          <w:snapToGrid w:val="0"/>
          <w:color w:val="auto"/>
          <w:kern w:val="0"/>
          <w:sz w:val="32"/>
          <w:szCs w:val="32"/>
          <w:highlight w:val="none"/>
          <w:lang w:val="en-US" w:eastAsia="zh-CN" w:bidi="ar"/>
        </w:rPr>
        <w:t>经费合计</w:t>
      </w:r>
      <w:r>
        <w:rPr>
          <w:rFonts w:hint="default" w:ascii="Times New Roman" w:hAnsi="Times New Roman" w:eastAsia="仿宋_GB2312" w:cs="Times New Roman"/>
          <w:snapToGrid w:val="0"/>
          <w:color w:val="auto"/>
          <w:kern w:val="0"/>
          <w:sz w:val="32"/>
          <w:szCs w:val="32"/>
          <w:highlight w:val="none"/>
          <w:lang w:val="en-US" w:eastAsia="zh-CN"/>
        </w:rPr>
        <w:t>4,497.00</w:t>
      </w:r>
      <w:r>
        <w:rPr>
          <w:rFonts w:hint="default" w:ascii="Times New Roman" w:hAnsi="Times New Roman" w:eastAsia="仿宋_GB2312" w:cs="Times New Roman"/>
          <w:snapToGrid w:val="0"/>
          <w:color w:val="auto"/>
          <w:kern w:val="0"/>
          <w:sz w:val="32"/>
          <w:szCs w:val="32"/>
          <w:highlight w:val="none"/>
          <w:lang w:val="en-US" w:eastAsia="zh-CN" w:bidi="ar"/>
        </w:rPr>
        <w:t>万元全部拨付至各地市，资金拨付率100%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i w:val="0"/>
          <w:iCs w:val="0"/>
          <w:snapToGrid w:val="0"/>
          <w:color w:val="auto"/>
          <w:kern w:val="0"/>
          <w:sz w:val="28"/>
          <w:szCs w:val="28"/>
          <w:highlight w:val="none"/>
          <w:u w:val="none"/>
          <w:lang w:val="en-US" w:eastAsia="zh-CN" w:bidi="ar"/>
        </w:rPr>
      </w:pPr>
      <w:r>
        <w:rPr>
          <w:rFonts w:hint="default" w:ascii="Times New Roman" w:hAnsi="Times New Roman" w:eastAsia="宋体" w:cs="Times New Roman"/>
          <w:b/>
          <w:bCs/>
          <w:snapToGrid w:val="0"/>
          <w:color w:val="auto"/>
          <w:sz w:val="28"/>
          <w:szCs w:val="28"/>
          <w:highlight w:val="none"/>
          <w:lang w:val="en-US" w:eastAsia="zh-CN"/>
        </w:rPr>
        <w:t xml:space="preserve">表1 </w:t>
      </w:r>
      <w:r>
        <w:rPr>
          <w:rFonts w:hint="eastAsia" w:ascii="Times New Roman" w:hAnsi="Times New Roman"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lang w:val="en-US" w:eastAsia="zh-CN"/>
        </w:rPr>
        <w:t>省内资金</w:t>
      </w:r>
      <w:r>
        <w:rPr>
          <w:rFonts w:hint="default" w:ascii="Times New Roman" w:hAnsi="Times New Roman" w:eastAsia="宋体" w:cs="Times New Roman"/>
          <w:b/>
          <w:bCs/>
          <w:snapToGrid w:val="0"/>
          <w:color w:val="auto"/>
          <w:sz w:val="28"/>
          <w:szCs w:val="28"/>
          <w:highlight w:val="none"/>
        </w:rPr>
        <w:t>安排、分解下达预算</w:t>
      </w:r>
      <w:r>
        <w:rPr>
          <w:rFonts w:hint="default" w:ascii="Times New Roman" w:hAnsi="Times New Roman" w:eastAsia="宋体" w:cs="Times New Roman"/>
          <w:b/>
          <w:bCs/>
          <w:snapToGrid w:val="0"/>
          <w:color w:val="auto"/>
          <w:sz w:val="28"/>
          <w:szCs w:val="28"/>
          <w:highlight w:val="none"/>
          <w:lang w:val="en-US" w:eastAsia="zh-CN"/>
        </w:rPr>
        <w:t>情况</w:t>
      </w:r>
    </w:p>
    <w:p>
      <w:pPr>
        <w:pStyle w:val="6"/>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单位：万元</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1"/>
        <w:gridCol w:w="2820"/>
        <w:gridCol w:w="1916"/>
        <w:gridCol w:w="1747"/>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地市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2020.6.1-2021.5.31申请基金支付金（元）</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2022年应下达</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2021年提前下达</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2022年追加下达额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栏次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宋体" w:cs="Times New Roman"/>
                <w:i w:val="0"/>
                <w:iCs w:val="0"/>
                <w:color w:val="auto"/>
                <w:kern w:val="0"/>
                <w:sz w:val="24"/>
                <w:szCs w:val="24"/>
                <w:highlight w:val="none"/>
                <w:u w:val="none"/>
                <w:lang w:val="en-US" w:eastAsia="zh-CN" w:bidi="ar"/>
              </w:rPr>
              <w:t>栏=</w:t>
            </w:r>
            <w:r>
              <w:rPr>
                <w:rFonts w:hint="default" w:ascii="Times New Roman" w:hAnsi="Times New Roman" w:eastAsia="仿宋_GB2312" w:cs="Times New Roman"/>
                <w:i w:val="0"/>
                <w:iCs w:val="0"/>
                <w:color w:val="auto"/>
                <w:kern w:val="0"/>
                <w:sz w:val="24"/>
                <w:szCs w:val="24"/>
                <w:highlight w:val="none"/>
                <w:u w:val="none"/>
                <w:lang w:val="en-US" w:eastAsia="zh-CN" w:bidi="ar"/>
              </w:rPr>
              <w:t>2497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栏/</w:t>
            </w:r>
            <w:r>
              <w:rPr>
                <w:rStyle w:val="16"/>
                <w:rFonts w:hint="default" w:ascii="Times New Roman" w:hAnsi="Times New Roman" w:eastAsia="宋体" w:cs="Times New Roman"/>
                <w:color w:val="auto"/>
                <w:sz w:val="24"/>
                <w:szCs w:val="24"/>
                <w:highlight w:val="none"/>
                <w:lang w:val="en-US" w:eastAsia="zh-CN" w:bidi="ar"/>
              </w:rPr>
              <w:t>∑</w:t>
            </w:r>
            <w:r>
              <w:rPr>
                <w:rStyle w:val="17"/>
                <w:rFonts w:hint="default" w:ascii="Times New Roman" w:hAnsi="Times New Roman" w:eastAsia="仿宋_GB2312" w:cs="Times New Roman"/>
                <w:color w:val="auto"/>
                <w:sz w:val="24"/>
                <w:szCs w:val="24"/>
                <w:highlight w:val="none"/>
                <w:lang w:val="en-US" w:eastAsia="zh-CN" w:bidi="ar"/>
              </w:rPr>
              <w:t>1</w:t>
            </w:r>
            <w:r>
              <w:rPr>
                <w:rStyle w:val="17"/>
                <w:rFonts w:hint="default" w:ascii="Times New Roman" w:hAnsi="Times New Roman" w:eastAsia="宋体" w:cs="Times New Roman"/>
                <w:color w:val="auto"/>
                <w:sz w:val="24"/>
                <w:szCs w:val="24"/>
                <w:highlight w:val="none"/>
                <w:lang w:val="en-US" w:eastAsia="zh-CN" w:bidi="ar"/>
              </w:rPr>
              <w:t>栏</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栏</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宋体" w:cs="Times New Roman"/>
                <w:i w:val="0"/>
                <w:iCs w:val="0"/>
                <w:color w:val="auto"/>
                <w:kern w:val="0"/>
                <w:sz w:val="24"/>
                <w:szCs w:val="24"/>
                <w:highlight w:val="none"/>
                <w:u w:val="none"/>
                <w:lang w:val="en-US" w:eastAsia="zh-CN" w:bidi="ar"/>
              </w:rPr>
              <w:t>栏=</w:t>
            </w: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宋体" w:cs="Times New Roman"/>
                <w:i w:val="0"/>
                <w:iCs w:val="0"/>
                <w:color w:val="auto"/>
                <w:kern w:val="0"/>
                <w:sz w:val="24"/>
                <w:szCs w:val="24"/>
                <w:highlight w:val="none"/>
                <w:u w:val="none"/>
                <w:lang w:val="en-US" w:eastAsia="zh-CN" w:bidi="ar"/>
              </w:rPr>
              <w:t>栏-</w:t>
            </w:r>
            <w:r>
              <w:rPr>
                <w:rFonts w:hint="default"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b/>
                <w:bCs/>
                <w:i w:val="0"/>
                <w:iCs w:val="0"/>
                <w:color w:val="auto"/>
                <w:kern w:val="0"/>
                <w:sz w:val="24"/>
                <w:szCs w:val="24"/>
                <w:highlight w:val="none"/>
                <w:u w:val="none"/>
                <w:lang w:val="en-US" w:eastAsia="zh-CN" w:bidi="ar"/>
              </w:rPr>
              <w:t>128</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760</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468</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32</w:t>
            </w: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497</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00</w:t>
            </w: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941</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00</w:t>
            </w: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b/>
                <w:bCs/>
                <w:i w:val="0"/>
                <w:iCs w:val="0"/>
                <w:color w:val="auto"/>
                <w:kern w:val="0"/>
                <w:sz w:val="24"/>
                <w:szCs w:val="24"/>
                <w:highlight w:val="none"/>
                <w:u w:val="none"/>
                <w:lang w:val="en-US" w:eastAsia="zh-CN" w:bidi="ar"/>
              </w:rPr>
              <w:t>556</w:t>
            </w:r>
            <w:r>
              <w:rPr>
                <w:rFonts w:hint="default" w:ascii="Times New Roman" w:hAnsi="Times New Roman" w:eastAsia="宋体"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00</w:t>
            </w: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广州市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9</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036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488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88</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178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136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佛山市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774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146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212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162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50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东莞市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877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346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04</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763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586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177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中山市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952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464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29</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9</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珠海市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858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463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155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118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汕头市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845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987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63</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韶关市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855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782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37</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河源市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400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666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77</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67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51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梅州市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374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228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惠州市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073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015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42</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493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378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115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汕尾市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338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80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江门市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323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667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59</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360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276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84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阳江市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198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83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63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湛江市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084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477</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61</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茂名市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353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786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肇庆市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543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410</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25</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9</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清远市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933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775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16</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18</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潮州市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924</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44</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揭阳市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071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115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94</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21</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16</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云浮市</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149</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375</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52</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00</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p>
        </w:tc>
        <w:tc>
          <w:tcPr>
            <w:tcW w:w="1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20" w:firstLineChars="200"/>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备注</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2022</w:t>
      </w:r>
      <w:r>
        <w:rPr>
          <w:rFonts w:hint="default" w:ascii="Times New Roman" w:hAnsi="Times New Roman" w:eastAsia="宋体" w:cs="Times New Roman"/>
          <w:i w:val="0"/>
          <w:iCs w:val="0"/>
          <w:color w:val="auto"/>
          <w:kern w:val="0"/>
          <w:sz w:val="21"/>
          <w:szCs w:val="21"/>
          <w:highlight w:val="none"/>
          <w:u w:val="none"/>
          <w:lang w:val="en-US" w:eastAsia="zh-CN" w:bidi="ar"/>
        </w:rPr>
        <w:t>年疾病应急救助资金分配是按照各地市</w:t>
      </w:r>
      <w:r>
        <w:rPr>
          <w:rFonts w:hint="default" w:ascii="Times New Roman" w:hAnsi="Times New Roman" w:eastAsia="仿宋_GB2312" w:cs="Times New Roman"/>
          <w:i w:val="0"/>
          <w:iCs w:val="0"/>
          <w:color w:val="auto"/>
          <w:kern w:val="0"/>
          <w:sz w:val="21"/>
          <w:szCs w:val="21"/>
          <w:highlight w:val="none"/>
          <w:u w:val="none"/>
          <w:lang w:val="en-US" w:eastAsia="zh-CN" w:bidi="ar"/>
        </w:rPr>
        <w:t>2020</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2021</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31</w:t>
      </w:r>
      <w:r>
        <w:rPr>
          <w:rFonts w:hint="default" w:ascii="Times New Roman" w:hAnsi="Times New Roman" w:eastAsia="宋体" w:cs="Times New Roman"/>
          <w:i w:val="0"/>
          <w:iCs w:val="0"/>
          <w:color w:val="auto"/>
          <w:kern w:val="0"/>
          <w:sz w:val="21"/>
          <w:szCs w:val="21"/>
          <w:highlight w:val="none"/>
          <w:u w:val="none"/>
          <w:lang w:val="en-US" w:eastAsia="zh-CN" w:bidi="ar"/>
        </w:rPr>
        <w:t>申请基金支付金额占全省总额的比例原则进行分配，其中深圳市由中央财政直接下达</w:t>
      </w:r>
      <w:r>
        <w:rPr>
          <w:rFonts w:hint="default" w:ascii="Times New Roman" w:hAnsi="Times New Roman" w:eastAsia="仿宋_GB2312" w:cs="Times New Roman"/>
          <w:i w:val="0"/>
          <w:iCs w:val="0"/>
          <w:color w:val="auto"/>
          <w:kern w:val="0"/>
          <w:sz w:val="21"/>
          <w:szCs w:val="21"/>
          <w:highlight w:val="none"/>
          <w:u w:val="none"/>
          <w:lang w:val="en-US" w:eastAsia="zh-CN" w:bidi="ar"/>
        </w:rPr>
        <w:t>403</w:t>
      </w:r>
      <w:r>
        <w:rPr>
          <w:rFonts w:hint="default" w:ascii="Times New Roman" w:hAnsi="Times New Roman" w:eastAsia="宋体" w:cs="Times New Roman"/>
          <w:i w:val="0"/>
          <w:iCs w:val="0"/>
          <w:color w:val="auto"/>
          <w:kern w:val="0"/>
          <w:sz w:val="21"/>
          <w:szCs w:val="21"/>
          <w:highlight w:val="none"/>
          <w:u w:val="none"/>
          <w:lang w:val="en-US" w:eastAsia="zh-CN" w:bidi="ar"/>
        </w:rPr>
        <w:t>万，不参与按比例分配；</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.截至</w:t>
      </w:r>
      <w:r>
        <w:rPr>
          <w:rFonts w:hint="default" w:ascii="Times New Roman" w:hAnsi="Times New Roman" w:eastAsia="仿宋_GB2312" w:cs="Times New Roman"/>
          <w:i w:val="0"/>
          <w:iCs w:val="0"/>
          <w:color w:val="auto"/>
          <w:kern w:val="0"/>
          <w:sz w:val="21"/>
          <w:szCs w:val="21"/>
          <w:highlight w:val="none"/>
          <w:u w:val="none"/>
          <w:lang w:val="en-US" w:eastAsia="zh-CN" w:bidi="ar"/>
        </w:rPr>
        <w:t>2021</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月</w:t>
      </w:r>
      <w:r>
        <w:rPr>
          <w:rFonts w:hint="default" w:ascii="Times New Roman" w:hAnsi="Times New Roman" w:eastAsia="仿宋_GB2312" w:cs="Times New Roman"/>
          <w:i w:val="0"/>
          <w:iCs w:val="0"/>
          <w:color w:val="auto"/>
          <w:kern w:val="0"/>
          <w:sz w:val="21"/>
          <w:szCs w:val="21"/>
          <w:highlight w:val="none"/>
          <w:u w:val="none"/>
          <w:lang w:val="en-US" w:eastAsia="zh-CN" w:bidi="ar"/>
        </w:rPr>
        <w:t>31</w:t>
      </w:r>
      <w:r>
        <w:rPr>
          <w:rFonts w:hint="default" w:ascii="Times New Roman" w:hAnsi="Times New Roman" w:eastAsia="宋体" w:cs="Times New Roman"/>
          <w:i w:val="0"/>
          <w:iCs w:val="0"/>
          <w:color w:val="auto"/>
          <w:kern w:val="0"/>
          <w:sz w:val="21"/>
          <w:szCs w:val="21"/>
          <w:highlight w:val="none"/>
          <w:u w:val="none"/>
          <w:lang w:val="en-US" w:eastAsia="zh-CN" w:bidi="ar"/>
        </w:rPr>
        <w:t>日，梅州市中央疾病应急救助资金结余</w:t>
      </w:r>
      <w:r>
        <w:rPr>
          <w:rFonts w:hint="default" w:ascii="Times New Roman" w:hAnsi="Times New Roman" w:eastAsia="仿宋_GB2312" w:cs="Times New Roman"/>
          <w:i w:val="0"/>
          <w:iCs w:val="0"/>
          <w:color w:val="auto"/>
          <w:kern w:val="0"/>
          <w:sz w:val="21"/>
          <w:szCs w:val="21"/>
          <w:highlight w:val="none"/>
          <w:u w:val="none"/>
          <w:lang w:val="en-US" w:eastAsia="zh-CN" w:bidi="ar"/>
        </w:rPr>
        <w:t>48</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62</w:t>
      </w:r>
      <w:r>
        <w:rPr>
          <w:rFonts w:hint="default" w:ascii="Times New Roman" w:hAnsi="Times New Roman" w:eastAsia="宋体" w:cs="Times New Roman"/>
          <w:i w:val="0"/>
          <w:iCs w:val="0"/>
          <w:color w:val="auto"/>
          <w:kern w:val="0"/>
          <w:sz w:val="21"/>
          <w:szCs w:val="21"/>
          <w:highlight w:val="none"/>
          <w:u w:val="none"/>
          <w:lang w:val="en-US" w:eastAsia="zh-CN" w:bidi="ar"/>
        </w:rPr>
        <w:t>万元、汕尾市结余</w:t>
      </w:r>
      <w:r>
        <w:rPr>
          <w:rFonts w:hint="default" w:ascii="Times New Roman" w:hAnsi="Times New Roman" w:eastAsia="仿宋_GB2312" w:cs="Times New Roman"/>
          <w:i w:val="0"/>
          <w:iCs w:val="0"/>
          <w:color w:val="auto"/>
          <w:kern w:val="0"/>
          <w:sz w:val="21"/>
          <w:szCs w:val="21"/>
          <w:highlight w:val="none"/>
          <w:u w:val="none"/>
          <w:lang w:val="en-US" w:eastAsia="zh-CN" w:bidi="ar"/>
        </w:rPr>
        <w:t>210</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13</w:t>
      </w:r>
      <w:r>
        <w:rPr>
          <w:rFonts w:hint="default" w:ascii="Times New Roman" w:hAnsi="Times New Roman" w:eastAsia="宋体" w:cs="Times New Roman"/>
          <w:i w:val="0"/>
          <w:iCs w:val="0"/>
          <w:color w:val="auto"/>
          <w:kern w:val="0"/>
          <w:sz w:val="21"/>
          <w:szCs w:val="21"/>
          <w:highlight w:val="none"/>
          <w:u w:val="none"/>
          <w:lang w:val="en-US" w:eastAsia="zh-CN" w:bidi="ar"/>
        </w:rPr>
        <w:t>万元、茂名市结余</w:t>
      </w:r>
      <w:r>
        <w:rPr>
          <w:rFonts w:hint="default" w:ascii="Times New Roman" w:hAnsi="Times New Roman" w:eastAsia="仿宋_GB2312" w:cs="Times New Roman"/>
          <w:i w:val="0"/>
          <w:iCs w:val="0"/>
          <w:color w:val="auto"/>
          <w:kern w:val="0"/>
          <w:sz w:val="21"/>
          <w:szCs w:val="21"/>
          <w:highlight w:val="none"/>
          <w:u w:val="none"/>
          <w:lang w:val="en-US" w:eastAsia="zh-CN" w:bidi="ar"/>
        </w:rPr>
        <w:t>70</w:t>
      </w:r>
      <w:r>
        <w:rPr>
          <w:rFonts w:hint="default" w:ascii="Times New Roman" w:hAnsi="Times New Roman" w:eastAsia="宋体" w:cs="Times New Roman"/>
          <w:i w:val="0"/>
          <w:iCs w:val="0"/>
          <w:color w:val="auto"/>
          <w:kern w:val="0"/>
          <w:sz w:val="21"/>
          <w:szCs w:val="21"/>
          <w:highlight w:val="none"/>
          <w:u w:val="none"/>
          <w:lang w:val="en-US" w:eastAsia="zh-CN" w:bidi="ar"/>
        </w:rPr>
        <w:t>万元，因结余金额较大，以上地市</w:t>
      </w:r>
      <w:r>
        <w:rPr>
          <w:rFonts w:hint="default" w:ascii="Times New Roman" w:hAnsi="Times New Roman" w:eastAsia="仿宋_GB2312" w:cs="Times New Roman"/>
          <w:i w:val="0"/>
          <w:iCs w:val="0"/>
          <w:color w:val="auto"/>
          <w:kern w:val="0"/>
          <w:sz w:val="21"/>
          <w:szCs w:val="21"/>
          <w:highlight w:val="none"/>
          <w:u w:val="none"/>
          <w:lang w:val="en-US" w:eastAsia="zh-CN" w:bidi="ar"/>
        </w:rPr>
        <w:t>2022</w:t>
      </w:r>
      <w:r>
        <w:rPr>
          <w:rFonts w:hint="default" w:ascii="Times New Roman" w:hAnsi="Times New Roman" w:eastAsia="宋体" w:cs="Times New Roman"/>
          <w:i w:val="0"/>
          <w:iCs w:val="0"/>
          <w:color w:val="auto"/>
          <w:kern w:val="0"/>
          <w:sz w:val="21"/>
          <w:szCs w:val="21"/>
          <w:highlight w:val="none"/>
          <w:u w:val="none"/>
          <w:lang w:val="en-US" w:eastAsia="zh-CN" w:bidi="ar"/>
        </w:rPr>
        <w:t>年不安排中央财政疾病应急救助补助资金，</w:t>
      </w:r>
      <w:r>
        <w:rPr>
          <w:rFonts w:hint="default" w:ascii="Times New Roman" w:hAnsi="Times New Roman" w:eastAsia="仿宋_GB2312" w:cs="Times New Roman"/>
          <w:i w:val="0"/>
          <w:iCs w:val="0"/>
          <w:color w:val="auto"/>
          <w:kern w:val="0"/>
          <w:sz w:val="21"/>
          <w:szCs w:val="21"/>
          <w:highlight w:val="none"/>
          <w:u w:val="none"/>
          <w:lang w:val="en-US" w:eastAsia="zh-CN" w:bidi="ar"/>
        </w:rPr>
        <w:t>2021</w:t>
      </w:r>
      <w:r>
        <w:rPr>
          <w:rFonts w:hint="default" w:ascii="Times New Roman" w:hAnsi="Times New Roman" w:eastAsia="宋体" w:cs="Times New Roman"/>
          <w:i w:val="0"/>
          <w:iCs w:val="0"/>
          <w:color w:val="auto"/>
          <w:kern w:val="0"/>
          <w:sz w:val="21"/>
          <w:szCs w:val="21"/>
          <w:highlight w:val="none"/>
          <w:u w:val="none"/>
          <w:lang w:val="en-US" w:eastAsia="zh-CN" w:bidi="ar"/>
        </w:rPr>
        <w:t>年提前下达</w:t>
      </w:r>
      <w:r>
        <w:rPr>
          <w:rFonts w:hint="default" w:ascii="Times New Roman" w:hAnsi="Times New Roman" w:eastAsia="仿宋_GB2312" w:cs="Times New Roman"/>
          <w:i w:val="0"/>
          <w:iCs w:val="0"/>
          <w:color w:val="auto"/>
          <w:kern w:val="0"/>
          <w:sz w:val="21"/>
          <w:szCs w:val="21"/>
          <w:highlight w:val="none"/>
          <w:u w:val="none"/>
          <w:lang w:val="en-US" w:eastAsia="zh-CN" w:bidi="ar"/>
        </w:rPr>
        <w:t>27</w:t>
      </w:r>
      <w:r>
        <w:rPr>
          <w:rFonts w:hint="default" w:ascii="Times New Roman" w:hAnsi="Times New Roman" w:eastAsia="宋体" w:cs="Times New Roman"/>
          <w:i w:val="0"/>
          <w:iCs w:val="0"/>
          <w:color w:val="auto"/>
          <w:kern w:val="0"/>
          <w:sz w:val="21"/>
          <w:szCs w:val="21"/>
          <w:highlight w:val="none"/>
          <w:u w:val="none"/>
          <w:lang w:val="en-US" w:eastAsia="zh-CN" w:bidi="ar"/>
        </w:rPr>
        <w:t>万元本次收回；</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.为平衡数据，东莞市补助资金调减</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万元。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i w:val="0"/>
          <w:iCs w:val="0"/>
          <w:caps w:val="0"/>
          <w:snapToGrid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iCs w:val="0"/>
          <w:caps w:val="0"/>
          <w:snapToGrid w:val="0"/>
          <w:color w:val="auto"/>
          <w:spacing w:val="0"/>
          <w:sz w:val="32"/>
          <w:szCs w:val="32"/>
          <w:highlight w:val="none"/>
          <w:shd w:val="clear" w:color="auto" w:fill="FFFFFF"/>
          <w:lang w:val="en-US" w:eastAsia="zh-CN"/>
        </w:rPr>
        <w:t>.省</w:t>
      </w:r>
      <w:r>
        <w:rPr>
          <w:rFonts w:hint="default" w:ascii="Times New Roman" w:hAnsi="Times New Roman" w:cs="Times New Roman"/>
          <w:b/>
          <w:bCs/>
          <w:i w:val="0"/>
          <w:iCs w:val="0"/>
          <w:caps w:val="0"/>
          <w:snapToGrid w:val="0"/>
          <w:color w:val="auto"/>
          <w:spacing w:val="0"/>
          <w:sz w:val="32"/>
          <w:szCs w:val="32"/>
          <w:highlight w:val="none"/>
          <w:shd w:val="clear" w:color="auto" w:fill="FFFFFF"/>
          <w:lang w:val="en-US" w:eastAsia="zh-CN"/>
        </w:rPr>
        <w:t>内</w:t>
      </w:r>
      <w:r>
        <w:rPr>
          <w:rFonts w:hint="default" w:ascii="Times New Roman" w:hAnsi="Times New Roman" w:eastAsia="仿宋_GB2312" w:cs="Times New Roman"/>
          <w:b/>
          <w:bCs/>
          <w:snapToGrid w:val="0"/>
          <w:color w:val="auto"/>
          <w:sz w:val="32"/>
          <w:szCs w:val="32"/>
          <w:highlight w:val="none"/>
        </w:rPr>
        <w:t>绩效目标情况</w:t>
      </w:r>
      <w:r>
        <w:rPr>
          <w:rFonts w:hint="eastAsia" w:cs="Times New Roman"/>
          <w:b/>
          <w:bCs/>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sz w:val="32"/>
          <w:szCs w:val="32"/>
          <w:highlight w:val="none"/>
          <w:lang w:val="en-US" w:eastAsia="zh-CN"/>
        </w:rPr>
        <w:t>参照</w:t>
      </w:r>
      <w:r>
        <w:rPr>
          <w:rFonts w:hint="default" w:ascii="Times New Roman" w:hAnsi="Times New Roman" w:eastAsia="仿宋_GB2312" w:cs="Times New Roman"/>
          <w:snapToGrid w:val="0"/>
          <w:color w:val="auto"/>
          <w:sz w:val="32"/>
          <w:szCs w:val="32"/>
          <w:highlight w:val="none"/>
        </w:rPr>
        <w:t>《2022年度中央对地方专项转移支付区域绩效目标表》</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结合全省工作实际情况</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我省认真</w:t>
      </w:r>
      <w:r>
        <w:rPr>
          <w:rFonts w:hint="default" w:ascii="Times New Roman" w:hAnsi="Times New Roman" w:cs="Times New Roman"/>
          <w:i w:val="0"/>
          <w:iCs w:val="0"/>
          <w:caps w:val="0"/>
          <w:snapToGrid w:val="0"/>
          <w:color w:val="auto"/>
          <w:spacing w:val="0"/>
          <w:sz w:val="32"/>
          <w:szCs w:val="32"/>
          <w:highlight w:val="none"/>
          <w:shd w:val="clear" w:color="auto" w:fill="FFFFFF"/>
          <w:lang w:val="en-US" w:eastAsia="zh-CN"/>
        </w:rPr>
        <w:t>研究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制订</w:t>
      </w:r>
      <w:r>
        <w:rPr>
          <w:rFonts w:hint="default" w:ascii="Times New Roman" w:hAnsi="Times New Roman" w:eastAsia="仿宋_GB2312" w:cs="Times New Roman"/>
          <w:snapToGrid w:val="0"/>
          <w:color w:val="auto"/>
          <w:spacing w:val="0"/>
          <w:kern w:val="0"/>
          <w:sz w:val="32"/>
          <w:szCs w:val="32"/>
          <w:highlight w:val="none"/>
          <w:lang w:val="en-US" w:eastAsia="zh-CN"/>
        </w:rPr>
        <w:t>了2022年度项目绩效</w:t>
      </w:r>
      <w:r>
        <w:rPr>
          <w:rFonts w:hint="default" w:ascii="Times New Roman" w:hAnsi="Times New Roman" w:cs="Times New Roman"/>
          <w:snapToGrid w:val="0"/>
          <w:color w:val="auto"/>
          <w:spacing w:val="0"/>
          <w:kern w:val="0"/>
          <w:sz w:val="32"/>
          <w:szCs w:val="32"/>
          <w:highlight w:val="none"/>
          <w:lang w:val="en-US" w:eastAsia="zh-CN"/>
        </w:rPr>
        <w:t>指标及完成值</w:t>
      </w:r>
      <w:r>
        <w:rPr>
          <w:rFonts w:hint="default" w:ascii="Times New Roman" w:hAnsi="Times New Roman" w:eastAsia="仿宋_GB2312" w:cs="Times New Roman"/>
          <w:b w:val="0"/>
          <w:bCs w:val="0"/>
          <w:snapToGrid w:val="0"/>
          <w:color w:val="auto"/>
          <w:sz w:val="32"/>
          <w:szCs w:val="32"/>
          <w:highlight w:val="none"/>
          <w:lang w:val="en-US" w:eastAsia="zh-CN"/>
        </w:rPr>
        <w:t>。并在向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下达转移</w:t>
      </w:r>
      <w:r>
        <w:rPr>
          <w:rFonts w:hint="default" w:ascii="Times New Roman" w:hAnsi="Times New Roman" w:cs="Times New Roman"/>
          <w:b w:val="0"/>
          <w:bCs w:val="0"/>
          <w:snapToGrid w:val="0"/>
          <w:color w:val="auto"/>
          <w:sz w:val="32"/>
          <w:szCs w:val="32"/>
          <w:highlight w:val="none"/>
          <w:lang w:val="en-US" w:eastAsia="zh-CN"/>
        </w:rPr>
        <w:t>支</w:t>
      </w:r>
      <w:r>
        <w:rPr>
          <w:rFonts w:hint="default" w:ascii="Times New Roman" w:hAnsi="Times New Roman" w:eastAsia="仿宋_GB2312" w:cs="Times New Roman"/>
          <w:b w:val="0"/>
          <w:bCs w:val="0"/>
          <w:snapToGrid w:val="0"/>
          <w:color w:val="auto"/>
          <w:sz w:val="32"/>
          <w:szCs w:val="32"/>
          <w:highlight w:val="none"/>
          <w:lang w:val="en-US" w:eastAsia="zh-CN"/>
        </w:rPr>
        <w:t>付预算时，同步下达</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2022年</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度中央对地方转移支付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总体</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绩效目标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和绩效指标</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cs="Times New Roman"/>
          <w:b w:val="0"/>
          <w:bCs w:val="0"/>
          <w:snapToGrid w:val="0"/>
          <w:color w:val="auto"/>
          <w:sz w:val="32"/>
          <w:szCs w:val="32"/>
          <w:highlight w:val="none"/>
          <w:lang w:val="en-US" w:eastAsia="zh-CN"/>
        </w:rPr>
        <w:t>省内</w:t>
      </w:r>
      <w:r>
        <w:rPr>
          <w:rFonts w:hint="default" w:ascii="Times New Roman" w:hAnsi="Times New Roman" w:eastAsia="仿宋_GB2312" w:cs="Times New Roman"/>
          <w:b w:val="0"/>
          <w:bCs w:val="0"/>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rPr>
        <w:t>绩效</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目标</w:t>
      </w:r>
      <w:r>
        <w:rPr>
          <w:rFonts w:hint="default" w:ascii="Times New Roman" w:hAnsi="Times New Roman" w:cs="Times New Roman"/>
          <w:b w:val="0"/>
          <w:bCs w:val="0"/>
          <w:snapToGrid w:val="0"/>
          <w:color w:val="auto"/>
          <w:sz w:val="32"/>
          <w:szCs w:val="32"/>
          <w:highlight w:val="none"/>
          <w:lang w:eastAsia="zh-CN"/>
        </w:rPr>
        <w:t>和三级</w:t>
      </w:r>
      <w:r>
        <w:rPr>
          <w:rFonts w:hint="default" w:ascii="Times New Roman" w:hAnsi="Times New Roman" w:eastAsia="仿宋_GB2312" w:cs="Times New Roman"/>
          <w:b w:val="0"/>
          <w:bCs w:val="0"/>
          <w:snapToGrid w:val="0"/>
          <w:color w:val="auto"/>
          <w:kern w:val="0"/>
          <w:sz w:val="32"/>
          <w:szCs w:val="32"/>
          <w:highlight w:val="none"/>
          <w:lang w:val="en-US" w:eastAsia="zh-CN" w:bidi="ar"/>
        </w:rPr>
        <w:t>绩效指标</w:t>
      </w:r>
      <w:r>
        <w:rPr>
          <w:rFonts w:hint="default" w:ascii="Times New Roman" w:hAnsi="Times New Roman" w:cs="Times New Roman"/>
          <w:b w:val="0"/>
          <w:bCs w:val="0"/>
          <w:snapToGrid w:val="0"/>
          <w:color w:val="auto"/>
          <w:kern w:val="0"/>
          <w:sz w:val="32"/>
          <w:szCs w:val="32"/>
          <w:highlight w:val="none"/>
          <w:lang w:val="en-US" w:eastAsia="zh-CN" w:bidi="ar"/>
        </w:rPr>
        <w:t>（含指标值）均与中央保持一致。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二、绩效目标完成情况分析</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（一）资金投入情况分析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1</w:t>
      </w:r>
      <w:r>
        <w:rPr>
          <w:rFonts w:hint="default" w:ascii="仿宋_GB2312" w:hAnsi="仿宋_GB2312" w:eastAsia="仿宋_GB2312" w:cs="仿宋_GB2312"/>
          <w:b/>
          <w:bCs/>
          <w:i w:val="0"/>
          <w:iCs w:val="0"/>
          <w:caps w:val="0"/>
          <w:snapToGrid w:val="0"/>
          <w:color w:val="auto"/>
          <w:spacing w:val="0"/>
          <w:kern w:val="0"/>
          <w:sz w:val="32"/>
          <w:szCs w:val="32"/>
          <w:highlight w:val="none"/>
          <w:shd w:val="clear" w:color="auto" w:fill="FFFFFF"/>
          <w:lang w:val="en-US" w:eastAsia="zh-CN" w:bidi="ar-SA"/>
        </w:rPr>
        <w:t>.资</w:t>
      </w:r>
      <w:r>
        <w:rPr>
          <w:rFonts w:hint="default" w:ascii="Times New Roman" w:hAnsi="Times New Roman" w:eastAsia="仿宋_GB2312" w:cs="Times New Roman"/>
          <w:b/>
          <w:bCs/>
          <w:i w:val="0"/>
          <w:caps w:val="0"/>
          <w:snapToGrid w:val="0"/>
          <w:color w:val="auto"/>
          <w:spacing w:val="0"/>
          <w:sz w:val="32"/>
          <w:szCs w:val="32"/>
          <w:highlight w:val="none"/>
          <w:lang w:val="en-US" w:eastAsia="zh-CN"/>
        </w:rPr>
        <w:t>金投入情况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pStyle w:val="10"/>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rPr>
        <w:t>2022年，中央和省财政投入我省</w:t>
      </w:r>
      <w:r>
        <w:rPr>
          <w:rFonts w:hint="default" w:ascii="Times New Roman" w:hAnsi="Times New Roman" w:eastAsia="仿宋_GB2312" w:cs="Times New Roman"/>
          <w:b w:val="0"/>
          <w:bCs w:val="0"/>
          <w:snapToGrid w:val="0"/>
          <w:color w:val="auto"/>
          <w:sz w:val="32"/>
          <w:szCs w:val="32"/>
          <w:highlight w:val="none"/>
          <w:u w:val="none"/>
          <w:lang w:val="en-US" w:eastAsia="zh-CN"/>
        </w:rPr>
        <w:t>疾病应急救助</w:t>
      </w:r>
      <w:r>
        <w:rPr>
          <w:rFonts w:hint="default" w:ascii="Times New Roman" w:hAnsi="Times New Roman" w:eastAsia="仿宋_GB2312" w:cs="Times New Roman"/>
          <w:snapToGrid w:val="0"/>
          <w:color w:val="auto"/>
          <w:kern w:val="0"/>
          <w:sz w:val="32"/>
          <w:szCs w:val="32"/>
          <w:highlight w:val="none"/>
        </w:rPr>
        <w:t>资金</w:t>
      </w:r>
      <w:r>
        <w:rPr>
          <w:rFonts w:hint="default" w:ascii="Times New Roman" w:hAnsi="Times New Roman" w:eastAsia="仿宋_GB2312" w:cs="Times New Roman"/>
          <w:snapToGrid w:val="0"/>
          <w:color w:val="auto"/>
          <w:kern w:val="0"/>
          <w:sz w:val="32"/>
          <w:szCs w:val="32"/>
          <w:highlight w:val="none"/>
          <w:lang w:val="en-US" w:eastAsia="zh-CN"/>
        </w:rPr>
        <w:t>专项资金合计4,497.00</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其中，中央财政资金</w:t>
      </w:r>
      <w:r>
        <w:rPr>
          <w:rFonts w:hint="default" w:ascii="Times New Roman" w:hAnsi="Times New Roman" w:eastAsia="仿宋_GB2312" w:cs="Times New Roman"/>
          <w:snapToGrid w:val="0"/>
          <w:color w:val="auto"/>
          <w:sz w:val="32"/>
          <w:szCs w:val="32"/>
          <w:highlight w:val="none"/>
          <w:lang w:val="en-US" w:eastAsia="zh-CN"/>
        </w:rPr>
        <w:t>2,497</w:t>
      </w:r>
      <w:r>
        <w:rPr>
          <w:rFonts w:hint="default" w:ascii="Times New Roman" w:hAnsi="Times New Roman" w:eastAsia="仿宋_GB2312" w:cs="Times New Roman"/>
          <w:snapToGrid w:val="0"/>
          <w:color w:val="auto"/>
          <w:kern w:val="0"/>
          <w:sz w:val="32"/>
          <w:szCs w:val="32"/>
          <w:highlight w:val="none"/>
          <w:lang w:val="en-US" w:eastAsia="zh-CN"/>
        </w:rPr>
        <w:t>.00</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省级财政安排</w:t>
      </w:r>
      <w:r>
        <w:rPr>
          <w:rFonts w:hint="default" w:ascii="Times New Roman" w:hAnsi="Times New Roman" w:eastAsia="仿宋_GB2312" w:cs="Times New Roman"/>
          <w:snapToGrid w:val="0"/>
          <w:color w:val="auto"/>
          <w:sz w:val="32"/>
          <w:szCs w:val="32"/>
          <w:highlight w:val="none"/>
          <w:lang w:val="en-US" w:eastAsia="zh-CN"/>
        </w:rPr>
        <w:t>2,000</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截止2022年12月31日，投入我省的</w:t>
      </w:r>
      <w:r>
        <w:rPr>
          <w:rFonts w:hint="default" w:ascii="Times New Roman" w:hAnsi="Times New Roman" w:eastAsia="仿宋_GB2312" w:cs="Times New Roman"/>
          <w:b w:val="0"/>
          <w:bCs w:val="0"/>
          <w:snapToGrid w:val="0"/>
          <w:color w:val="auto"/>
          <w:sz w:val="32"/>
          <w:szCs w:val="32"/>
          <w:highlight w:val="none"/>
          <w:u w:val="none"/>
          <w:lang w:val="en-US" w:eastAsia="zh-CN"/>
        </w:rPr>
        <w:t>疾病应急救助</w:t>
      </w:r>
      <w:r>
        <w:rPr>
          <w:rFonts w:hint="default" w:ascii="Times New Roman" w:hAnsi="Times New Roman" w:eastAsia="仿宋_GB2312" w:cs="Times New Roman"/>
          <w:snapToGrid w:val="0"/>
          <w:color w:val="auto"/>
          <w:kern w:val="0"/>
          <w:sz w:val="32"/>
          <w:szCs w:val="32"/>
          <w:highlight w:val="none"/>
          <w:lang w:val="en-US" w:eastAsia="zh-CN"/>
        </w:rPr>
        <w:t>4,497.00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已经足额下达至各地</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其中中央财政资金到位率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97.92%</w:t>
      </w:r>
      <w:r>
        <w:rPr>
          <w:rFonts w:hint="default" w:ascii="Times New Roman" w:hAnsi="Times New Roman" w:eastAsia="仿宋_GB2312" w:cs="Times New Roman"/>
          <w:snapToGrid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default" w:ascii="仿宋_GB2312" w:hAnsi="仿宋_GB2312" w:eastAsia="仿宋_GB2312" w:cs="仿宋_GB2312"/>
          <w:b/>
          <w:bCs/>
          <w:i w:val="0"/>
          <w:iCs w:val="0"/>
          <w:caps w:val="0"/>
          <w:snapToGrid w:val="0"/>
          <w:color w:val="auto"/>
          <w:spacing w:val="0"/>
          <w:kern w:val="0"/>
          <w:sz w:val="32"/>
          <w:szCs w:val="32"/>
          <w:highlight w:val="none"/>
          <w:shd w:val="clear" w:color="auto" w:fill="FFFFFF"/>
          <w:lang w:val="en-US" w:eastAsia="zh-CN" w:bidi="ar-SA"/>
        </w:rPr>
        <w:t>.资金</w:t>
      </w:r>
      <w:r>
        <w:rPr>
          <w:rFonts w:hint="default" w:ascii="Times New Roman" w:hAnsi="Times New Roman" w:eastAsia="仿宋_GB2312" w:cs="Times New Roman"/>
          <w:b/>
          <w:bCs/>
          <w:i w:val="0"/>
          <w:caps w:val="0"/>
          <w:snapToGrid w:val="0"/>
          <w:color w:val="auto"/>
          <w:spacing w:val="0"/>
          <w:sz w:val="32"/>
          <w:szCs w:val="32"/>
          <w:highlight w:val="none"/>
          <w:lang w:val="en-US" w:eastAsia="zh-CN"/>
        </w:rPr>
        <w:t>执行情况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sz w:val="32"/>
          <w:szCs w:val="32"/>
          <w:highlight w:val="none"/>
          <w:lang w:val="en-US" w:eastAsia="zh-CN"/>
        </w:rPr>
        <w:t>2022年中央财政</w:t>
      </w:r>
      <w:r>
        <w:rPr>
          <w:rFonts w:hint="default" w:ascii="Times New Roman" w:hAnsi="Times New Roman" w:eastAsia="仿宋_GB2312" w:cs="Times New Roman"/>
          <w:b w:val="0"/>
          <w:bCs w:val="0"/>
          <w:snapToGrid w:val="0"/>
          <w:color w:val="auto"/>
          <w:sz w:val="32"/>
          <w:szCs w:val="32"/>
          <w:highlight w:val="none"/>
          <w:u w:val="none"/>
          <w:lang w:val="en-US" w:eastAsia="zh-CN"/>
        </w:rPr>
        <w:t>疾病应急救助</w:t>
      </w:r>
      <w:r>
        <w:rPr>
          <w:rFonts w:hint="default" w:ascii="Times New Roman" w:hAnsi="Times New Roman" w:eastAsia="仿宋_GB2312" w:cs="Times New Roman"/>
          <w:b w:val="0"/>
          <w:bCs w:val="0"/>
          <w:snapToGrid w:val="0"/>
          <w:color w:val="auto"/>
          <w:kern w:val="0"/>
          <w:sz w:val="32"/>
          <w:szCs w:val="32"/>
          <w:highlight w:val="none"/>
          <w:lang w:val="en-US" w:eastAsia="zh-CN" w:bidi="ar"/>
        </w:rPr>
        <w:t>转移支付实际支出</w:t>
      </w:r>
      <w:r>
        <w:rPr>
          <w:rFonts w:hint="default" w:ascii="Times New Roman" w:hAnsi="Times New Roman" w:eastAsia="仿宋_GB2312" w:cs="Times New Roman"/>
          <w:snapToGrid w:val="0"/>
          <w:color w:val="auto"/>
          <w:kern w:val="0"/>
          <w:sz w:val="32"/>
          <w:szCs w:val="32"/>
          <w:highlight w:val="none"/>
          <w:lang w:val="en-US" w:eastAsia="zh-CN"/>
        </w:rPr>
        <w:t>2</w:t>
      </w:r>
      <w:r>
        <w:rPr>
          <w:rFonts w:hint="default"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301.82万元，预算执行率92.18%</w:t>
      </w:r>
      <w:r>
        <w:rPr>
          <w:rFonts w:hint="default" w:ascii="Times New Roman" w:hAnsi="Times New Roman" w:cs="Times New Roman"/>
          <w:snapToGrid w:val="0"/>
          <w:color w:val="auto"/>
          <w:kern w:val="0"/>
          <w:sz w:val="32"/>
          <w:szCs w:val="32"/>
          <w:highlight w:val="none"/>
          <w:lang w:val="en-US" w:eastAsia="zh-CN"/>
        </w:rPr>
        <w:t>（见表2）</w:t>
      </w:r>
      <w:r>
        <w:rPr>
          <w:rFonts w:hint="default" w:ascii="Times New Roman" w:hAnsi="Times New Roman" w:eastAsia="仿宋_GB2312" w:cs="Times New Roman"/>
          <w:snapToGrid w:val="0"/>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i w:val="0"/>
          <w:caps w:val="0"/>
          <w:snapToGrid w:val="0"/>
          <w:color w:val="auto"/>
          <w:spacing w:val="0"/>
          <w:sz w:val="28"/>
          <w:szCs w:val="28"/>
          <w:highlight w:val="none"/>
          <w:lang w:val="en-US" w:eastAsia="zh-CN"/>
        </w:rPr>
      </w:pPr>
      <w:r>
        <w:rPr>
          <w:rFonts w:hint="default" w:ascii="Times New Roman" w:hAnsi="Times New Roman" w:eastAsia="宋体" w:cs="Times New Roman"/>
          <w:b/>
          <w:bCs/>
          <w:i w:val="0"/>
          <w:caps w:val="0"/>
          <w:snapToGrid w:val="0"/>
          <w:color w:val="auto"/>
          <w:spacing w:val="0"/>
          <w:sz w:val="28"/>
          <w:szCs w:val="28"/>
          <w:highlight w:val="none"/>
          <w:lang w:val="en-US" w:eastAsia="zh-CN"/>
        </w:rPr>
        <w:t xml:space="preserve">表2 </w:t>
      </w:r>
      <w:r>
        <w:rPr>
          <w:rFonts w:hint="eastAsia" w:ascii="Times New Roman" w:hAnsi="Times New Roman" w:eastAsia="宋体" w:cs="Times New Roman"/>
          <w:b/>
          <w:bCs/>
          <w:i w:val="0"/>
          <w:caps w:val="0"/>
          <w:snapToGrid w:val="0"/>
          <w:color w:val="auto"/>
          <w:spacing w:val="0"/>
          <w:sz w:val="28"/>
          <w:szCs w:val="28"/>
          <w:highlight w:val="none"/>
          <w:lang w:val="en-US" w:eastAsia="zh-CN"/>
        </w:rPr>
        <w:t xml:space="preserve"> </w:t>
      </w:r>
      <w:r>
        <w:rPr>
          <w:rFonts w:hint="default" w:ascii="Times New Roman" w:hAnsi="Times New Roman" w:eastAsia="宋体" w:cs="Times New Roman"/>
          <w:b/>
          <w:bCs/>
          <w:i w:val="0"/>
          <w:caps w:val="0"/>
          <w:snapToGrid w:val="0"/>
          <w:color w:val="auto"/>
          <w:spacing w:val="0"/>
          <w:sz w:val="28"/>
          <w:szCs w:val="28"/>
          <w:highlight w:val="none"/>
          <w:lang w:val="en-US" w:eastAsia="zh-CN"/>
        </w:rPr>
        <w:t>中央资金执行情况</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i w:val="0"/>
          <w:caps w:val="0"/>
          <w:color w:val="auto"/>
          <w:spacing w:val="0"/>
          <w:sz w:val="24"/>
          <w:szCs w:val="24"/>
          <w:highlight w:val="none"/>
          <w:lang w:val="en-US" w:eastAsia="zh-CN"/>
        </w:rPr>
        <w:t>金额单位：万元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504"/>
        <w:gridCol w:w="1760"/>
        <w:gridCol w:w="1546"/>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280" w:type="dxa"/>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资金名称</w:t>
            </w:r>
          </w:p>
        </w:tc>
        <w:tc>
          <w:tcPr>
            <w:tcW w:w="1504"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下达总金额</w:t>
            </w:r>
          </w:p>
        </w:tc>
        <w:tc>
          <w:tcPr>
            <w:tcW w:w="176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实际支出金额</w:t>
            </w:r>
          </w:p>
        </w:tc>
        <w:tc>
          <w:tcPr>
            <w:tcW w:w="1546"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未支出金额</w:t>
            </w:r>
          </w:p>
        </w:tc>
        <w:tc>
          <w:tcPr>
            <w:tcW w:w="197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支出进度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提前下达2022年中央财政医疗救助补助资金</w:t>
            </w:r>
          </w:p>
        </w:tc>
        <w:tc>
          <w:tcPr>
            <w:tcW w:w="1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1,941.00</w:t>
            </w:r>
          </w:p>
        </w:tc>
        <w:tc>
          <w:tcPr>
            <w:tcW w:w="17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1,761.68</w:t>
            </w:r>
          </w:p>
        </w:tc>
        <w:tc>
          <w:tcPr>
            <w:tcW w:w="15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179.32</w:t>
            </w:r>
          </w:p>
        </w:tc>
        <w:tc>
          <w:tcPr>
            <w:tcW w:w="1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80" w:type="dxa"/>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2022年第二批中央财政疾病应急救助补助资金</w:t>
            </w:r>
          </w:p>
        </w:tc>
        <w:tc>
          <w:tcPr>
            <w:tcW w:w="1504"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556</w:t>
            </w:r>
          </w:p>
        </w:tc>
        <w:tc>
          <w:tcPr>
            <w:tcW w:w="176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540.14</w:t>
            </w:r>
          </w:p>
        </w:tc>
        <w:tc>
          <w:tcPr>
            <w:tcW w:w="1546"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15.86</w:t>
            </w:r>
          </w:p>
        </w:tc>
        <w:tc>
          <w:tcPr>
            <w:tcW w:w="197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8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合  计</w:t>
            </w:r>
          </w:p>
        </w:tc>
        <w:tc>
          <w:tcPr>
            <w:tcW w:w="1504"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2,497.00</w:t>
            </w:r>
          </w:p>
        </w:tc>
        <w:tc>
          <w:tcPr>
            <w:tcW w:w="176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2,301.82</w:t>
            </w:r>
          </w:p>
        </w:tc>
        <w:tc>
          <w:tcPr>
            <w:tcW w:w="1546"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195.18</w:t>
            </w:r>
          </w:p>
        </w:tc>
        <w:tc>
          <w:tcPr>
            <w:tcW w:w="197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92.18%</w:t>
            </w:r>
          </w:p>
        </w:tc>
      </w:tr>
    </w:tbl>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default" w:ascii="楷体_GB2312" w:hAnsi="楷体_GB2312" w:eastAsia="楷体_GB2312" w:cs="楷体_GB2312"/>
          <w:b w:val="0"/>
          <w:bCs w:val="0"/>
          <w:snapToGrid w:val="0"/>
          <w:color w:val="auto"/>
          <w:sz w:val="32"/>
          <w:szCs w:val="32"/>
          <w:highlight w:val="none"/>
          <w:lang w:eastAsia="zh-CN"/>
        </w:rPr>
      </w:pPr>
      <w:r>
        <w:rPr>
          <w:rFonts w:hint="default" w:ascii="楷体_GB2312" w:hAnsi="楷体_GB2312" w:eastAsia="楷体_GB2312" w:cs="楷体_GB2312"/>
          <w:b w:val="0"/>
          <w:bCs w:val="0"/>
          <w:snapToGrid w:val="0"/>
          <w:color w:val="auto"/>
          <w:sz w:val="32"/>
          <w:szCs w:val="32"/>
          <w:highlight w:val="none"/>
          <w:lang w:val="en-US" w:eastAsia="zh-CN"/>
        </w:rPr>
        <w:t>（二）资金管理情况</w:t>
      </w:r>
      <w:r>
        <w:rPr>
          <w:rFonts w:hint="eastAsia" w:ascii="楷体_GB2312" w:hAnsi="楷体_GB2312" w:eastAsia="楷体_GB2312" w:cs="楷体_GB2312"/>
          <w:b w:val="0"/>
          <w:bCs w:val="0"/>
          <w:snapToGrid w:val="0"/>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firstLine="646" w:firstLineChars="201"/>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仿宋_GB2312" w:hAnsi="仿宋_GB2312" w:eastAsia="仿宋_GB2312" w:cs="仿宋_GB2312"/>
          <w:b/>
          <w:bCs/>
          <w:i w:val="0"/>
          <w:iCs w:val="0"/>
          <w:caps w:val="0"/>
          <w:color w:val="auto"/>
          <w:spacing w:val="0"/>
          <w:sz w:val="32"/>
          <w:szCs w:val="32"/>
          <w:highlight w:val="none"/>
          <w:shd w:val="clear" w:color="auto" w:fill="FFFFFF"/>
          <w:lang w:val="en-US" w:eastAsia="zh-CN"/>
        </w:rPr>
        <w:t>.分</w:t>
      </w:r>
      <w:r>
        <w:rPr>
          <w:rFonts w:hint="default" w:ascii="Times New Roman" w:hAnsi="Times New Roman" w:eastAsia="仿宋_GB2312" w:cs="Times New Roman"/>
          <w:b/>
          <w:bCs/>
          <w:color w:val="auto"/>
          <w:sz w:val="32"/>
          <w:szCs w:val="32"/>
          <w:highlight w:val="none"/>
          <w:lang w:val="en-US" w:eastAsia="zh-CN"/>
        </w:rPr>
        <w:t>配科学性。</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cs="Times New Roman"/>
          <w:color w:val="auto"/>
          <w:sz w:val="32"/>
          <w:szCs w:val="32"/>
          <w:highlight w:val="none"/>
          <w:lang w:eastAsia="zh-CN"/>
        </w:rPr>
        <w:t>根据各地上年度申请基金支付金额按比例进行</w:t>
      </w:r>
      <w:r>
        <w:rPr>
          <w:rFonts w:hint="default" w:ascii="Times New Roman" w:hAnsi="Times New Roman" w:eastAsia="仿宋_GB2312" w:cs="Times New Roman"/>
          <w:color w:val="auto"/>
          <w:sz w:val="32"/>
          <w:szCs w:val="32"/>
          <w:highlight w:val="none"/>
        </w:rPr>
        <w:t>分配</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同时，结合</w:t>
      </w:r>
      <w:r>
        <w:rPr>
          <w:rFonts w:hint="default" w:ascii="Times New Roman" w:hAnsi="Times New Roman" w:cs="Times New Roman"/>
          <w:color w:val="auto"/>
          <w:kern w:val="0"/>
          <w:sz w:val="32"/>
          <w:szCs w:val="32"/>
          <w:highlight w:val="none"/>
          <w:lang w:val="en-US" w:eastAsia="zh-CN"/>
        </w:rPr>
        <w:t>各地上年度资金结余</w:t>
      </w:r>
      <w:r>
        <w:rPr>
          <w:rFonts w:hint="default" w:ascii="Times New Roman" w:hAnsi="Times New Roman" w:eastAsia="仿宋_GB2312" w:cs="Times New Roman"/>
          <w:color w:val="auto"/>
          <w:kern w:val="0"/>
          <w:sz w:val="32"/>
          <w:szCs w:val="32"/>
          <w:highlight w:val="none"/>
          <w:lang w:val="en-US" w:eastAsia="zh-CN"/>
        </w:rPr>
        <w:t>情况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科学测算和</w:t>
      </w:r>
      <w:r>
        <w:rPr>
          <w:rFonts w:hint="default" w:ascii="Times New Roman" w:hAnsi="Times New Roman" w:eastAsia="仿宋_GB2312" w:cs="Times New Roman"/>
          <w:b w:val="0"/>
          <w:bCs w:val="0"/>
          <w:color w:val="auto"/>
          <w:kern w:val="0"/>
          <w:sz w:val="32"/>
          <w:szCs w:val="32"/>
          <w:highlight w:val="none"/>
          <w:lang w:eastAsia="zh-CN"/>
        </w:rPr>
        <w:t>制定</w:t>
      </w:r>
      <w:r>
        <w:rPr>
          <w:rFonts w:hint="default" w:ascii="Times New Roman" w:hAnsi="Times New Roman" w:eastAsia="仿宋_GB2312" w:cs="Times New Roman"/>
          <w:b w:val="0"/>
          <w:bCs w:val="0"/>
          <w:i w:val="0"/>
          <w:iCs w:val="0"/>
          <w:caps w:val="0"/>
          <w:color w:val="auto"/>
          <w:spacing w:val="0"/>
          <w:sz w:val="32"/>
          <w:szCs w:val="32"/>
          <w:highlight w:val="none"/>
          <w:u w:val="none"/>
        </w:rPr>
        <w:fldChar w:fldCharType="begin"/>
      </w:r>
      <w:r>
        <w:rPr>
          <w:rFonts w:hint="default" w:ascii="Times New Roman" w:hAnsi="Times New Roman" w:eastAsia="仿宋_GB2312" w:cs="Times New Roman"/>
          <w:b w:val="0"/>
          <w:bCs w:val="0"/>
          <w:i w:val="0"/>
          <w:iCs w:val="0"/>
          <w:caps w:val="0"/>
          <w:color w:val="auto"/>
          <w:spacing w:val="0"/>
          <w:sz w:val="32"/>
          <w:szCs w:val="32"/>
          <w:highlight w:val="none"/>
          <w:u w:val="none"/>
        </w:rPr>
        <w:instrText xml:space="preserve"> HYPERLINK "http://wsjkw.gd.gov.cn/zwgk_gsgg/content/post_3990045.html" \t "http://search.gd.gov.cn/search/all/_blank" </w:instrText>
      </w:r>
      <w:r>
        <w:rPr>
          <w:rFonts w:hint="default" w:ascii="Times New Roman" w:hAnsi="Times New Roman" w:eastAsia="仿宋_GB2312" w:cs="Times New Roman"/>
          <w:b w:val="0"/>
          <w:bCs w:val="0"/>
          <w:i w:val="0"/>
          <w:iCs w:val="0"/>
          <w:caps w:val="0"/>
          <w:color w:val="auto"/>
          <w:spacing w:val="0"/>
          <w:sz w:val="32"/>
          <w:szCs w:val="32"/>
          <w:highlight w:val="none"/>
          <w:u w:val="none"/>
        </w:rPr>
        <w:fldChar w:fldCharType="separate"/>
      </w:r>
      <w:r>
        <w:rPr>
          <w:rStyle w:val="15"/>
          <w:rFonts w:hint="default" w:ascii="Times New Roman" w:hAnsi="Times New Roman" w:eastAsia="仿宋_GB2312" w:cs="Times New Roman"/>
          <w:b w:val="0"/>
          <w:bCs w:val="0"/>
          <w:i w:val="0"/>
          <w:iCs w:val="0"/>
          <w:caps w:val="0"/>
          <w:color w:val="auto"/>
          <w:spacing w:val="0"/>
          <w:sz w:val="32"/>
          <w:szCs w:val="32"/>
          <w:highlight w:val="none"/>
          <w:u w:val="none"/>
        </w:rPr>
        <w:t>资金分配方案</w:t>
      </w:r>
      <w:r>
        <w:rPr>
          <w:rFonts w:hint="default" w:ascii="Times New Roman" w:hAnsi="Times New Roman" w:eastAsia="仿宋_GB2312" w:cs="Times New Roman"/>
          <w:b w:val="0"/>
          <w:bCs w:val="0"/>
          <w:i w:val="0"/>
          <w:iCs w:val="0"/>
          <w:caps w:val="0"/>
          <w:color w:val="auto"/>
          <w:spacing w:val="0"/>
          <w:sz w:val="32"/>
          <w:szCs w:val="32"/>
          <w:highlight w:val="none"/>
          <w:u w:val="none"/>
        </w:rPr>
        <w:fldChar w:fldCharType="end"/>
      </w:r>
      <w:r>
        <w:rPr>
          <w:rFonts w:hint="default" w:ascii="Times New Roman" w:hAnsi="Times New Roman"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bCs/>
          <w:color w:val="auto"/>
          <w:sz w:val="32"/>
          <w:szCs w:val="32"/>
          <w:highlight w:val="none"/>
          <w:shd w:val="clear" w:color="auto" w:fill="FFFFFF"/>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认真做好省级以上补助资金统筹安排工作，严格按照转移支付管理制度以及资金管理办法规定的</w:t>
      </w:r>
      <w:r>
        <w:rPr>
          <w:rFonts w:hint="default" w:ascii="Times New Roman" w:hAnsi="Times New Roman" w:cs="Times New Roman"/>
          <w:b w:val="0"/>
          <w:bCs w:val="0"/>
          <w:color w:val="auto"/>
          <w:sz w:val="32"/>
          <w:szCs w:val="32"/>
          <w:highlight w:val="none"/>
          <w:lang w:val="en-US" w:eastAsia="zh-CN"/>
        </w:rPr>
        <w:t>范围</w:t>
      </w:r>
      <w:r>
        <w:rPr>
          <w:rFonts w:hint="default" w:ascii="Times New Roman" w:hAnsi="Times New Roman" w:eastAsia="仿宋_GB2312" w:cs="Times New Roman"/>
          <w:b w:val="0"/>
          <w:bCs w:val="0"/>
          <w:color w:val="auto"/>
          <w:sz w:val="32"/>
          <w:szCs w:val="32"/>
          <w:highlight w:val="none"/>
          <w:lang w:val="en-US" w:eastAsia="zh-CN"/>
        </w:rPr>
        <w:t>和标准分配资金</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做到及时分解尽快下达。</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省财政厅在收到中央补助资金文件后按规定列入年初预算管理；省卫生健康委</w:t>
      </w:r>
      <w:r>
        <w:rPr>
          <w:rFonts w:hint="default" w:ascii="Times New Roman" w:hAnsi="Times New Roman" w:eastAsia="仿宋_GB2312" w:cs="Times New Roman"/>
          <w:b w:val="0"/>
          <w:bCs w:val="0"/>
          <w:color w:val="auto"/>
          <w:kern w:val="0"/>
          <w:sz w:val="32"/>
          <w:szCs w:val="32"/>
          <w:highlight w:val="none"/>
          <w:lang w:val="en-US" w:eastAsia="zh-CN"/>
        </w:rPr>
        <w:t>结合资金</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分配要素</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在</w:t>
      </w:r>
      <w:r>
        <w:rPr>
          <w:rFonts w:hint="default" w:ascii="Times New Roman" w:hAnsi="Times New Roman" w:cs="Times New Roman"/>
          <w:b w:val="0"/>
          <w:bCs w:val="0"/>
          <w:i w:val="0"/>
          <w:caps w:val="0"/>
          <w:color w:val="auto"/>
          <w:spacing w:val="0"/>
          <w:sz w:val="32"/>
          <w:szCs w:val="32"/>
          <w:highlight w:val="none"/>
          <w:shd w:val="clear" w:color="auto" w:fill="FFFFFF"/>
          <w:lang w:val="en-US" w:eastAsia="zh-CN"/>
        </w:rPr>
        <w:t>认真</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开展资金测算基础上，</w:t>
      </w:r>
      <w:r>
        <w:rPr>
          <w:rFonts w:hint="default" w:ascii="Times New Roman" w:hAnsi="Times New Roman" w:cs="Times New Roman"/>
          <w:b w:val="0"/>
          <w:bCs w:val="0"/>
          <w:color w:val="auto"/>
          <w:sz w:val="32"/>
          <w:szCs w:val="32"/>
          <w:highlight w:val="none"/>
          <w:lang w:val="en-US" w:eastAsia="zh-CN"/>
        </w:rPr>
        <w:t>拟定中央资金分配方案，并经委领导班子集体审议通过后报省财政厅，</w:t>
      </w:r>
      <w:r>
        <w:rPr>
          <w:rFonts w:hint="default" w:ascii="Times New Roman" w:hAnsi="Times New Roman" w:eastAsia="仿宋_GB2312" w:cs="Times New Roman"/>
          <w:b w:val="0"/>
          <w:bCs w:val="0"/>
          <w:color w:val="auto"/>
          <w:sz w:val="32"/>
          <w:szCs w:val="32"/>
          <w:highlight w:val="none"/>
          <w:lang w:val="en-US" w:eastAsia="zh-CN"/>
        </w:rPr>
        <w:t>同时，根据国家要求制定项目实施方案；省财政审核</w:t>
      </w:r>
      <w:r>
        <w:rPr>
          <w:rFonts w:hint="default" w:ascii="Times New Roman" w:hAnsi="Times New Roman" w:cs="Times New Roman"/>
          <w:b w:val="0"/>
          <w:bCs w:val="0"/>
          <w:color w:val="auto"/>
          <w:sz w:val="32"/>
          <w:szCs w:val="32"/>
          <w:highlight w:val="none"/>
          <w:lang w:val="en-US" w:eastAsia="zh-CN"/>
        </w:rPr>
        <w:t>通过后上报财政部，</w:t>
      </w:r>
      <w:r>
        <w:rPr>
          <w:rFonts w:hint="default" w:ascii="Times New Roman" w:hAnsi="Times New Roman" w:eastAsia="仿宋_GB2312" w:cs="Times New Roman"/>
          <w:color w:val="auto"/>
          <w:sz w:val="32"/>
          <w:szCs w:val="32"/>
          <w:highlight w:val="none"/>
          <w:lang w:eastAsia="zh-CN"/>
        </w:rPr>
        <w:t>有关资金分配方案</w:t>
      </w:r>
      <w:r>
        <w:rPr>
          <w:rFonts w:hint="default" w:ascii="Times New Roman" w:hAnsi="Times New Roman" w:eastAsia="仿宋_GB2312" w:cs="Times New Roman"/>
          <w:color w:val="auto"/>
          <w:sz w:val="32"/>
          <w:szCs w:val="32"/>
          <w:highlight w:val="none"/>
          <w:lang w:val="en-US" w:eastAsia="zh-CN"/>
        </w:rPr>
        <w:t>经财政部</w:t>
      </w:r>
      <w:r>
        <w:rPr>
          <w:rFonts w:hint="default" w:ascii="Times New Roman" w:hAnsi="Times New Roman" w:eastAsia="仿宋_GB2312" w:cs="Times New Roman"/>
          <w:color w:val="auto"/>
          <w:sz w:val="32"/>
          <w:szCs w:val="32"/>
          <w:highlight w:val="none"/>
          <w:lang w:eastAsia="zh-CN"/>
        </w:rPr>
        <w:t>审核同意后再</w:t>
      </w:r>
      <w:r>
        <w:rPr>
          <w:rFonts w:hint="default" w:ascii="Times New Roman" w:hAnsi="Times New Roman" w:cs="Times New Roman"/>
          <w:color w:val="auto"/>
          <w:sz w:val="32"/>
          <w:szCs w:val="32"/>
          <w:highlight w:val="none"/>
          <w:lang w:val="en-US" w:eastAsia="zh-CN"/>
        </w:rPr>
        <w:t>行</w:t>
      </w:r>
      <w:r>
        <w:rPr>
          <w:rFonts w:hint="default" w:ascii="Times New Roman" w:hAnsi="Times New Roman" w:eastAsia="仿宋_GB2312" w:cs="Times New Roman"/>
          <w:color w:val="auto"/>
          <w:sz w:val="32"/>
          <w:szCs w:val="32"/>
          <w:highlight w:val="none"/>
          <w:lang w:eastAsia="zh-CN"/>
        </w:rPr>
        <w:t>下达到市县</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eastAsia="zh-CN"/>
        </w:rPr>
        <w:t>讲求绩效，量效挂钩。建立绩效评价结果与资金分配挂钩机制，提高转移支付资金使用效益</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b w:val="0"/>
          <w:bCs w:val="0"/>
          <w:color w:val="auto"/>
          <w:spacing w:val="0"/>
          <w:kern w:val="0"/>
          <w:sz w:val="32"/>
          <w:szCs w:val="32"/>
          <w:highlight w:val="none"/>
          <w:lang w:val="en-US" w:eastAsia="zh-CN"/>
        </w:rPr>
        <w:t>综上，我省对中央转移支付分配严格遵循相关法律法规确定的决策程序，坚持集体决策，按规定程序审批。同时，坚持因素分配</w:t>
      </w:r>
      <w:r>
        <w:rPr>
          <w:rFonts w:hint="default" w:ascii="Times New Roman" w:hAnsi="Times New Roman" w:eastAsia="仿宋" w:cs="Times New Roman"/>
          <w:i w:val="0"/>
          <w:iCs w:val="0"/>
          <w:color w:val="auto"/>
          <w:kern w:val="0"/>
          <w:sz w:val="32"/>
          <w:szCs w:val="32"/>
          <w:highlight w:val="none"/>
          <w:u w:val="none"/>
          <w:lang w:val="en-US" w:eastAsia="zh-CN" w:bidi="ar"/>
        </w:rPr>
        <w:t>、科学测算</w:t>
      </w:r>
      <w:r>
        <w:rPr>
          <w:rFonts w:hint="default" w:ascii="Times New Roman" w:hAnsi="Times New Roman" w:cs="Times New Roman"/>
          <w:b w:val="0"/>
          <w:bCs w:val="0"/>
          <w:color w:val="auto"/>
          <w:spacing w:val="0"/>
          <w:kern w:val="0"/>
          <w:sz w:val="32"/>
          <w:szCs w:val="32"/>
          <w:highlight w:val="none"/>
          <w:lang w:val="en-US" w:eastAsia="zh-CN"/>
        </w:rPr>
        <w:t>、兼顾公平、讲求绩效以及公开透明（分配方案在部门网站公开，接受社会监督）等原则，确保了中央转移支付资金分配的科学、规范、合理。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SA"/>
        </w:rPr>
        <w:t>.下</w:t>
      </w:r>
      <w:r>
        <w:rPr>
          <w:rFonts w:hint="default" w:ascii="Times New Roman" w:hAnsi="Times New Roman" w:eastAsia="仿宋_GB2312" w:cs="Times New Roman"/>
          <w:b/>
          <w:bCs/>
          <w:color w:val="auto"/>
          <w:sz w:val="32"/>
          <w:szCs w:val="32"/>
          <w:highlight w:val="none"/>
          <w:lang w:val="en-US" w:eastAsia="zh-CN"/>
        </w:rPr>
        <w:t>达及时性。</w:t>
      </w:r>
      <w:r>
        <w:rPr>
          <w:rFonts w:hint="default" w:ascii="Times New Roman" w:hAnsi="Times New Roman" w:eastAsia="仿宋_GB2312" w:cs="Times New Roman"/>
          <w:b w:val="0"/>
          <w:bCs w:val="0"/>
          <w:color w:val="auto"/>
          <w:sz w:val="32"/>
          <w:szCs w:val="32"/>
          <w:highlight w:val="none"/>
          <w:lang w:val="en-US" w:eastAsia="zh-CN"/>
        </w:rPr>
        <w:t>严格按照预算法及其实施条例、转移支付管理制度规定以及资金管理办法规定要求分解下达，但是，我省分解下达2022年度</w:t>
      </w:r>
      <w:r>
        <w:rPr>
          <w:rFonts w:hint="default" w:ascii="Times New Roman" w:hAnsi="Times New Roman" w:eastAsia="仿宋_GB2312" w:cs="Times New Roman"/>
          <w:b w:val="0"/>
          <w:bCs w:val="0"/>
          <w:color w:val="auto"/>
          <w:sz w:val="32"/>
          <w:szCs w:val="32"/>
          <w:highlight w:val="none"/>
          <w:u w:val="none"/>
          <w:lang w:val="en-US" w:eastAsia="zh-CN"/>
        </w:rPr>
        <w:t>疾病应急救助</w:t>
      </w:r>
      <w:r>
        <w:rPr>
          <w:rFonts w:hint="default" w:ascii="Times New Roman" w:hAnsi="Times New Roman" w:eastAsia="仿宋_GB2312" w:cs="Times New Roman"/>
          <w:b w:val="0"/>
          <w:bCs w:val="0"/>
          <w:color w:val="auto"/>
          <w:sz w:val="32"/>
          <w:szCs w:val="32"/>
          <w:highlight w:val="none"/>
          <w:lang w:val="en-US" w:eastAsia="zh-CN"/>
        </w:rPr>
        <w:t>中央转移支付提前批用时达到31天，第二批用时23天，平均用时达到27天（见表3），未能全部符合“在收到中央财政转移支付资金预算后30日内正式下达”的规定，资金下达及时性一般。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kern w:val="0"/>
          <w:sz w:val="28"/>
          <w:szCs w:val="28"/>
          <w:highlight w:val="none"/>
          <w:lang w:val="en-US" w:eastAsia="zh-CN"/>
        </w:rPr>
      </w:pPr>
      <w:r>
        <w:rPr>
          <w:rFonts w:hint="default" w:ascii="Times New Roman" w:hAnsi="Times New Roman" w:eastAsia="宋体" w:cs="Times New Roman"/>
          <w:b/>
          <w:bCs/>
          <w:snapToGrid w:val="0"/>
          <w:color w:val="auto"/>
          <w:kern w:val="0"/>
          <w:sz w:val="28"/>
          <w:szCs w:val="28"/>
          <w:highlight w:val="none"/>
          <w:lang w:val="en-US" w:eastAsia="zh-CN"/>
        </w:rPr>
        <w:t xml:space="preserve">表3 </w:t>
      </w:r>
      <w:r>
        <w:rPr>
          <w:rFonts w:hint="eastAsia" w:ascii="Times New Roman" w:hAnsi="Times New Roman" w:eastAsia="宋体" w:cs="Times New Roman"/>
          <w:b/>
          <w:bCs/>
          <w:snapToGrid w:val="0"/>
          <w:color w:val="auto"/>
          <w:kern w:val="0"/>
          <w:sz w:val="28"/>
          <w:szCs w:val="28"/>
          <w:highlight w:val="none"/>
          <w:lang w:val="en-US" w:eastAsia="zh-CN"/>
        </w:rPr>
        <w:t xml:space="preserve"> </w:t>
      </w:r>
      <w:r>
        <w:rPr>
          <w:rFonts w:hint="default" w:ascii="Times New Roman" w:hAnsi="Times New Roman" w:eastAsia="宋体" w:cs="Times New Roman"/>
          <w:b/>
          <w:bCs/>
          <w:snapToGrid w:val="0"/>
          <w:color w:val="auto"/>
          <w:kern w:val="0"/>
          <w:sz w:val="28"/>
          <w:szCs w:val="28"/>
          <w:highlight w:val="none"/>
          <w:lang w:val="en-US" w:eastAsia="zh-CN"/>
        </w:rPr>
        <w:t>资金下达时间情况</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7"/>
        <w:gridCol w:w="1605"/>
        <w:gridCol w:w="1511"/>
        <w:gridCol w:w="1399"/>
        <w:gridCol w:w="1560"/>
        <w:gridCol w:w="1252"/>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687"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序号</w:t>
            </w:r>
          </w:p>
        </w:tc>
        <w:tc>
          <w:tcPr>
            <w:tcW w:w="4515"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中央下达</w:t>
            </w:r>
          </w:p>
        </w:tc>
        <w:tc>
          <w:tcPr>
            <w:tcW w:w="2812"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省级下达</w:t>
            </w:r>
          </w:p>
        </w:tc>
        <w:tc>
          <w:tcPr>
            <w:tcW w:w="987"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用时(天)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87" w:type="dxa"/>
            <w:vMerge w:val="continue"/>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c>
          <w:tcPr>
            <w:tcW w:w="1605"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文件号财社</w:t>
            </w:r>
          </w:p>
        </w:tc>
        <w:tc>
          <w:tcPr>
            <w:tcW w:w="1511"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落款时间</w:t>
            </w:r>
          </w:p>
        </w:tc>
        <w:tc>
          <w:tcPr>
            <w:tcW w:w="1399"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收文时间</w:t>
            </w:r>
          </w:p>
        </w:tc>
        <w:tc>
          <w:tcPr>
            <w:tcW w:w="1560"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文件号粤财社</w:t>
            </w:r>
          </w:p>
        </w:tc>
        <w:tc>
          <w:tcPr>
            <w:tcW w:w="1252" w:type="dxa"/>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黑体" w:eastAsia="黑体" w:cs="黑体"/>
                <w:b w:val="0"/>
                <w:bCs w:val="0"/>
                <w:i w:val="0"/>
                <w:iCs w:val="0"/>
                <w:color w:val="auto"/>
                <w:kern w:val="0"/>
                <w:sz w:val="24"/>
                <w:szCs w:val="24"/>
                <w:highlight w:val="none"/>
                <w:u w:val="none"/>
                <w:lang w:val="en-US" w:eastAsia="zh-CN" w:bidi="ar"/>
              </w:rPr>
            </w:pPr>
            <w:r>
              <w:rPr>
                <w:rFonts w:hint="default" w:ascii="黑体" w:hAnsi="黑体" w:eastAsia="黑体" w:cs="黑体"/>
                <w:b w:val="0"/>
                <w:bCs w:val="0"/>
                <w:i w:val="0"/>
                <w:iCs w:val="0"/>
                <w:color w:val="auto"/>
                <w:kern w:val="0"/>
                <w:sz w:val="24"/>
                <w:szCs w:val="24"/>
                <w:highlight w:val="none"/>
                <w:u w:val="none"/>
                <w:lang w:val="en-US" w:eastAsia="zh-CN" w:bidi="ar"/>
              </w:rPr>
              <w:t>下达时间</w:t>
            </w:r>
          </w:p>
        </w:tc>
        <w:tc>
          <w:tcPr>
            <w:tcW w:w="987" w:type="dxa"/>
            <w:vMerge w:val="continue"/>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8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2021</w:t>
            </w:r>
            <w:r>
              <w:rPr>
                <w:rStyle w:val="18"/>
                <w:rFonts w:hint="default" w:ascii="Times New Roman" w:hAnsi="Times New Roman" w:cs="Times New Roman"/>
                <w:color w:val="auto"/>
                <w:highlight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164</w:t>
            </w:r>
            <w:r>
              <w:rPr>
                <w:rStyle w:val="18"/>
                <w:rFonts w:hint="default" w:ascii="Times New Roman" w:hAnsi="Times New Roman" w:cs="Times New Roman"/>
                <w:color w:val="auto"/>
                <w:highlight w:val="none"/>
                <w:lang w:val="en-US" w:eastAsia="zh-CN" w:bidi="ar"/>
              </w:rPr>
              <w:t>号</w:t>
            </w:r>
          </w:p>
        </w:tc>
        <w:tc>
          <w:tcPr>
            <w:tcW w:w="151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2021/10/31</w:t>
            </w:r>
          </w:p>
        </w:tc>
        <w:tc>
          <w:tcPr>
            <w:tcW w:w="139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2021/11/18*</w:t>
            </w:r>
          </w:p>
        </w:tc>
        <w:tc>
          <w:tcPr>
            <w:tcW w:w="15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2021</w:t>
            </w:r>
            <w:r>
              <w:rPr>
                <w:rStyle w:val="18"/>
                <w:rFonts w:hint="default" w:ascii="Times New Roman" w:hAnsi="Times New Roman" w:cs="Times New Roman"/>
                <w:color w:val="auto"/>
                <w:highlight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313</w:t>
            </w:r>
            <w:r>
              <w:rPr>
                <w:rStyle w:val="18"/>
                <w:rFonts w:hint="default" w:ascii="Times New Roman" w:hAnsi="Times New Roman" w:cs="Times New Roman"/>
                <w:color w:val="auto"/>
                <w:highlight w:val="none"/>
                <w:lang w:val="en-US" w:eastAsia="zh-CN" w:bidi="ar"/>
              </w:rPr>
              <w:t>号</w:t>
            </w:r>
          </w:p>
        </w:tc>
        <w:tc>
          <w:tcPr>
            <w:tcW w:w="125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2021/12/19</w:t>
            </w:r>
          </w:p>
        </w:tc>
        <w:tc>
          <w:tcPr>
            <w:tcW w:w="9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bidi="ar"/>
              </w:rPr>
            </w:pPr>
            <w:r>
              <w:rPr>
                <w:rFonts w:hint="default" w:ascii="Times New Roman" w:hAnsi="Times New Roman" w:eastAsia="仿宋_GB2312" w:cs="Times New Roman"/>
                <w:i w:val="0"/>
                <w:color w:val="auto"/>
                <w:kern w:val="0"/>
                <w:sz w:val="24"/>
                <w:szCs w:val="24"/>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87"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w:t>
            </w:r>
          </w:p>
        </w:tc>
        <w:tc>
          <w:tcPr>
            <w:tcW w:w="16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2022</w:t>
            </w:r>
            <w:r>
              <w:rPr>
                <w:rStyle w:val="18"/>
                <w:rFonts w:hint="default" w:ascii="Times New Roman" w:hAnsi="Times New Roman" w:cs="Times New Roman"/>
                <w:color w:val="auto"/>
                <w:highlight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46</w:t>
            </w:r>
            <w:r>
              <w:rPr>
                <w:rStyle w:val="18"/>
                <w:rFonts w:hint="default" w:ascii="Times New Roman" w:hAnsi="Times New Roman" w:cs="Times New Roman"/>
                <w:color w:val="auto"/>
                <w:highlight w:val="none"/>
                <w:lang w:val="en-US" w:eastAsia="zh-CN" w:bidi="ar"/>
              </w:rPr>
              <w:t>号</w:t>
            </w:r>
          </w:p>
        </w:tc>
        <w:tc>
          <w:tcPr>
            <w:tcW w:w="151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2022/4/24</w:t>
            </w:r>
          </w:p>
        </w:tc>
        <w:tc>
          <w:tcPr>
            <w:tcW w:w="139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2022/5/17</w:t>
            </w:r>
          </w:p>
        </w:tc>
        <w:tc>
          <w:tcPr>
            <w:tcW w:w="156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2022</w:t>
            </w:r>
            <w:r>
              <w:rPr>
                <w:rStyle w:val="18"/>
                <w:rFonts w:hint="default" w:ascii="Times New Roman" w:hAnsi="Times New Roman" w:cs="Times New Roman"/>
                <w:color w:val="auto"/>
                <w:highlight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113</w:t>
            </w:r>
            <w:r>
              <w:rPr>
                <w:rStyle w:val="18"/>
                <w:rFonts w:hint="default" w:ascii="Times New Roman" w:hAnsi="Times New Roman" w:cs="Times New Roman"/>
                <w:color w:val="auto"/>
                <w:highlight w:val="none"/>
                <w:lang w:val="en-US" w:eastAsia="zh-CN" w:bidi="ar"/>
              </w:rPr>
              <w:t>号</w:t>
            </w:r>
          </w:p>
        </w:tc>
        <w:tc>
          <w:tcPr>
            <w:tcW w:w="1252"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2022/6/9</w:t>
            </w:r>
          </w:p>
        </w:tc>
        <w:tc>
          <w:tcPr>
            <w:tcW w:w="9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bidi="ar"/>
              </w:rPr>
            </w:pPr>
            <w:r>
              <w:rPr>
                <w:rFonts w:hint="default" w:ascii="Times New Roman" w:hAnsi="Times New Roman" w:eastAsia="仿宋_GB2312" w:cs="Times New Roman"/>
                <w:i w:val="0"/>
                <w:color w:val="auto"/>
                <w:kern w:val="0"/>
                <w:sz w:val="24"/>
                <w:szCs w:val="24"/>
                <w:highlight w:val="none"/>
                <w:u w:val="none"/>
                <w:lang w:val="en-US" w:eastAsia="zh-CN" w:bidi="ar"/>
              </w:rPr>
              <w:t>23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3</w:t>
      </w:r>
      <w:r>
        <w:rPr>
          <w:rFonts w:hint="eastAsia" w:ascii="仿宋_GB2312" w:hAnsi="仿宋_GB2312" w:eastAsia="仿宋_GB2312" w:cs="仿宋_GB2312"/>
          <w:b/>
          <w:bCs/>
          <w:snapToGrid w:val="0"/>
          <w:color w:val="auto"/>
          <w:sz w:val="32"/>
          <w:szCs w:val="32"/>
          <w:highlight w:val="none"/>
          <w:lang w:val="en-US" w:eastAsia="zh-CN"/>
        </w:rPr>
        <w:t>.</w:t>
      </w:r>
      <w:r>
        <w:rPr>
          <w:rFonts w:hint="eastAsia" w:ascii="仿宋_GB2312" w:hAnsi="仿宋_GB2312" w:eastAsia="仿宋_GB2312" w:cs="仿宋_GB2312"/>
          <w:b/>
          <w:bCs/>
          <w:snapToGrid w:val="0"/>
          <w:color w:val="auto"/>
          <w:sz w:val="32"/>
          <w:szCs w:val="32"/>
          <w:highlight w:val="none"/>
        </w:rPr>
        <w:t>拨</w:t>
      </w:r>
      <w:r>
        <w:rPr>
          <w:rFonts w:hint="default" w:ascii="Times New Roman" w:hAnsi="Times New Roman" w:eastAsia="仿宋_GB2312" w:cs="Times New Roman"/>
          <w:b/>
          <w:bCs/>
          <w:snapToGrid w:val="0"/>
          <w:color w:val="auto"/>
          <w:sz w:val="32"/>
          <w:szCs w:val="32"/>
          <w:highlight w:val="none"/>
        </w:rPr>
        <w:t>付合规性。</w:t>
      </w:r>
      <w:r>
        <w:rPr>
          <w:rFonts w:hint="default" w:ascii="Times New Roman" w:hAnsi="Times New Roman" w:eastAsia="仿宋_GB2312" w:cs="Times New Roman"/>
          <w:b w:val="0"/>
          <w:bCs w:val="0"/>
          <w:snapToGrid w:val="0"/>
          <w:color w:val="auto"/>
          <w:sz w:val="32"/>
          <w:szCs w:val="32"/>
          <w:highlight w:val="none"/>
        </w:rPr>
        <w:t>严格按照</w:t>
      </w:r>
      <w:r>
        <w:rPr>
          <w:rFonts w:hint="default" w:ascii="Times New Roman" w:hAnsi="Times New Roman" w:eastAsia="仿宋_GB2312" w:cs="Times New Roman"/>
          <w:b w:val="0"/>
          <w:bCs w:val="0"/>
          <w:snapToGrid w:val="0"/>
          <w:color w:val="auto"/>
          <w:sz w:val="32"/>
          <w:szCs w:val="32"/>
          <w:highlight w:val="none"/>
          <w:lang w:val="en-US" w:eastAsia="zh-CN"/>
        </w:rPr>
        <w:t>财政预算和</w:t>
      </w:r>
      <w:r>
        <w:rPr>
          <w:rFonts w:hint="default" w:ascii="Times New Roman" w:hAnsi="Times New Roman" w:eastAsia="仿宋_GB2312" w:cs="Times New Roman"/>
          <w:b w:val="0"/>
          <w:bCs w:val="0"/>
          <w:snapToGrid w:val="0"/>
          <w:color w:val="auto"/>
          <w:sz w:val="32"/>
          <w:szCs w:val="32"/>
          <w:highlight w:val="none"/>
        </w:rPr>
        <w:t>国库集中支付制度有关规定</w:t>
      </w:r>
      <w:r>
        <w:rPr>
          <w:rFonts w:hint="default" w:ascii="Times New Roman" w:hAnsi="Times New Roman" w:eastAsia="仿宋_GB2312" w:cs="Times New Roman"/>
          <w:b w:val="0"/>
          <w:bCs w:val="0"/>
          <w:snapToGrid w:val="0"/>
          <w:color w:val="auto"/>
          <w:sz w:val="32"/>
          <w:szCs w:val="32"/>
          <w:highlight w:val="none"/>
          <w:lang w:eastAsia="zh-CN"/>
        </w:rPr>
        <w:t>拨</w:t>
      </w:r>
      <w:r>
        <w:rPr>
          <w:rFonts w:hint="default" w:ascii="Times New Roman" w:hAnsi="Times New Roman" w:eastAsia="仿宋_GB2312" w:cs="Times New Roman"/>
          <w:b w:val="0"/>
          <w:bCs w:val="0"/>
          <w:snapToGrid w:val="0"/>
          <w:color w:val="auto"/>
          <w:sz w:val="32"/>
          <w:szCs w:val="32"/>
          <w:highlight w:val="none"/>
        </w:rPr>
        <w:t>付资金，规范预算执行管理</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把好资金拨付关口，确保资金安全、规范和有效使用</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2022年，我省负责实施的中央财政补助</w:t>
      </w:r>
      <w:r>
        <w:rPr>
          <w:rFonts w:hint="default" w:ascii="Times New Roman" w:hAnsi="Times New Roman" w:eastAsia="仿宋_GB2312" w:cs="Times New Roman"/>
          <w:b w:val="0"/>
          <w:bCs w:val="0"/>
          <w:snapToGrid w:val="0"/>
          <w:color w:val="auto"/>
          <w:sz w:val="32"/>
          <w:szCs w:val="32"/>
          <w:highlight w:val="none"/>
          <w:u w:val="none"/>
          <w:lang w:val="en-US" w:eastAsia="zh-CN"/>
        </w:rPr>
        <w:t>疾病应急救助</w:t>
      </w:r>
      <w:r>
        <w:rPr>
          <w:rFonts w:hint="default" w:ascii="Times New Roman" w:hAnsi="Times New Roman" w:eastAsia="仿宋_GB2312" w:cs="Times New Roman"/>
          <w:snapToGrid w:val="0"/>
          <w:color w:val="auto"/>
          <w:spacing w:val="0"/>
          <w:kern w:val="0"/>
          <w:sz w:val="32"/>
          <w:szCs w:val="32"/>
          <w:highlight w:val="none"/>
          <w:lang w:val="en-US" w:eastAsia="zh-CN"/>
        </w:rPr>
        <w:t>务</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snapToGrid w:val="0"/>
          <w:color w:val="auto"/>
          <w:sz w:val="32"/>
          <w:szCs w:val="32"/>
          <w:highlight w:val="none"/>
          <w:lang w:val="en-US" w:eastAsia="zh-CN"/>
        </w:rPr>
        <w:t>没有</w:t>
      </w:r>
      <w:r>
        <w:rPr>
          <w:rFonts w:hint="default" w:ascii="Times New Roman" w:hAnsi="Times New Roman" w:eastAsia="仿宋_GB2312" w:cs="Times New Roman"/>
          <w:b w:val="0"/>
          <w:bCs w:val="0"/>
          <w:snapToGrid w:val="0"/>
          <w:color w:val="auto"/>
          <w:sz w:val="32"/>
          <w:szCs w:val="32"/>
          <w:highlight w:val="none"/>
          <w:lang w:eastAsia="zh-CN"/>
        </w:rPr>
        <w:t>发</w:t>
      </w:r>
      <w:r>
        <w:rPr>
          <w:rFonts w:hint="default" w:ascii="Times New Roman" w:hAnsi="Times New Roman" w:eastAsia="仿宋_GB2312" w:cs="Times New Roman"/>
          <w:b w:val="0"/>
          <w:bCs w:val="0"/>
          <w:snapToGrid w:val="0"/>
          <w:color w:val="auto"/>
          <w:sz w:val="32"/>
          <w:szCs w:val="32"/>
          <w:highlight w:val="none"/>
        </w:rPr>
        <w:t>现违规将资金从国库转入财政专户或</w:t>
      </w:r>
      <w:r>
        <w:rPr>
          <w:rFonts w:hint="default" w:ascii="Times New Roman" w:hAnsi="Times New Roman" w:eastAsia="仿宋_GB2312" w:cs="Times New Roman"/>
          <w:b w:val="0"/>
          <w:bCs w:val="0"/>
          <w:snapToGrid w:val="0"/>
          <w:color w:val="auto"/>
          <w:sz w:val="32"/>
          <w:szCs w:val="32"/>
          <w:highlight w:val="none"/>
          <w:lang w:eastAsia="zh-CN"/>
        </w:rPr>
        <w:t>拨</w:t>
      </w:r>
      <w:r>
        <w:rPr>
          <w:rFonts w:hint="default" w:ascii="Times New Roman" w:hAnsi="Times New Roman" w:eastAsia="仿宋_GB2312" w:cs="Times New Roman"/>
          <w:b w:val="0"/>
          <w:bCs w:val="0"/>
          <w:snapToGrid w:val="0"/>
          <w:color w:val="auto"/>
          <w:sz w:val="32"/>
          <w:szCs w:val="32"/>
          <w:highlight w:val="none"/>
        </w:rPr>
        <w:t>付到预算单位实有资金账户等问题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拨付合规性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4</w:t>
      </w:r>
      <w:r>
        <w:rPr>
          <w:rFonts w:hint="default" w:ascii="仿宋_GB2312" w:hAnsi="仿宋_GB2312" w:eastAsia="仿宋_GB2312" w:cs="仿宋_GB2312"/>
          <w:b/>
          <w:bCs/>
          <w:snapToGrid w:val="0"/>
          <w:color w:val="auto"/>
          <w:sz w:val="32"/>
          <w:szCs w:val="32"/>
          <w:highlight w:val="none"/>
          <w:lang w:val="en-US" w:eastAsia="zh-CN"/>
        </w:rPr>
        <w:t>.使</w:t>
      </w:r>
      <w:r>
        <w:rPr>
          <w:rFonts w:hint="default" w:ascii="Times New Roman" w:hAnsi="Times New Roman" w:eastAsia="仿宋_GB2312" w:cs="Times New Roman"/>
          <w:b/>
          <w:bCs/>
          <w:snapToGrid w:val="0"/>
          <w:color w:val="auto"/>
          <w:sz w:val="32"/>
          <w:szCs w:val="32"/>
          <w:highlight w:val="none"/>
        </w:rPr>
        <w:t>用规范性。</w:t>
      </w:r>
      <w:r>
        <w:rPr>
          <w:rFonts w:hint="default" w:ascii="Times New Roman" w:hAnsi="Times New Roman" w:cs="Times New Roman"/>
          <w:b/>
          <w:bCs/>
          <w:snapToGrid w:val="0"/>
          <w:color w:val="auto"/>
          <w:sz w:val="32"/>
          <w:szCs w:val="32"/>
          <w:highlight w:val="none"/>
          <w:lang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认真落实和执行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《国务院办公厅关于建立疾病应急救助制度的指导意见》（国办发〔2013〕15号）</w:t>
      </w:r>
      <w:r>
        <w:rPr>
          <w:rFonts w:hint="default" w:ascii="Times New Roman" w:hAnsi="Times New Roman"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《关于印发广东省医疗卫生领域省级与市县财政事权和支出责任划分改革实施方案的通知》（</w:t>
      </w:r>
      <w:r>
        <w:rPr>
          <w:rFonts w:hint="default" w:ascii="Times New Roman" w:hAnsi="Times New Roman" w:eastAsia="仿宋_GB2312" w:cs="Times New Roman"/>
          <w:b w:val="0"/>
          <w:bCs w:val="0"/>
          <w:snapToGrid w:val="0"/>
          <w:color w:val="auto"/>
          <w:sz w:val="32"/>
          <w:szCs w:val="32"/>
          <w:highlight w:val="none"/>
        </w:rPr>
        <w:t>粤</w:t>
      </w:r>
      <w:r>
        <w:rPr>
          <w:rFonts w:hint="default" w:ascii="Times New Roman" w:hAnsi="Times New Roman" w:eastAsia="仿宋_GB2312" w:cs="Times New Roman"/>
          <w:b w:val="0"/>
          <w:bCs w:val="0"/>
          <w:snapToGrid w:val="0"/>
          <w:color w:val="auto"/>
          <w:sz w:val="32"/>
          <w:szCs w:val="32"/>
          <w:highlight w:val="none"/>
          <w:lang w:val="en-US" w:eastAsia="zh-CN"/>
        </w:rPr>
        <w:t>府办</w:t>
      </w:r>
      <w:r>
        <w:rPr>
          <w:rFonts w:hint="default" w:ascii="Times New Roman" w:hAnsi="Times New Roman" w:eastAsia="仿宋_GB2312" w:cs="Times New Roman"/>
          <w:b w:val="0"/>
          <w:bCs w:val="0"/>
          <w:snapToGrid w:val="0"/>
          <w:color w:val="auto"/>
          <w:sz w:val="32"/>
          <w:szCs w:val="32"/>
          <w:highlight w:val="none"/>
        </w:rPr>
        <w:t>〔2019〕</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rPr>
        <w:t>号</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rPr>
        <w:t>《关于印发省级医疗卫生健康事业发展专项资金（省卫生健康委分管部分财政事权）管理办法的通知》（粤财社〔2019〕74号）</w:t>
      </w:r>
      <w:r>
        <w:rPr>
          <w:rFonts w:hint="default" w:ascii="Times New Roman" w:hAnsi="Times New Roman"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《广东省财政厅印发关于全面实施“三保”资金专户管理的工作方案的通知》》（粤财预〔2020〕52号</w:t>
      </w:r>
      <w:r>
        <w:rPr>
          <w:rFonts w:hint="default" w:ascii="Times New Roman" w:hAnsi="Times New Roman"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《省级疾病应急救助专项资金管理办法》（粤财社〔2014〕356号），以及《关于建立广东省疾病应急救助制度的实施意见》（粤府办〔2014〕63号）、《广东省疾病应急救助制度实施细则》（粤卫〔2015〕72号）、《</w:t>
      </w:r>
      <w:r>
        <w:rPr>
          <w:rFonts w:hint="default" w:ascii="Times New Roman" w:hAnsi="Times New Roman" w:eastAsia="仿宋_GB2312" w:cs="Times New Roman"/>
          <w:b w:val="0"/>
          <w:bCs w:val="0"/>
          <w:i w:val="0"/>
          <w:iCs w:val="0"/>
          <w:caps w:val="0"/>
          <w:snapToGrid w:val="0"/>
          <w:color w:val="auto"/>
          <w:spacing w:val="0"/>
          <w:sz w:val="32"/>
          <w:szCs w:val="32"/>
          <w:highlight w:val="none"/>
          <w:vertAlign w:val="baseline"/>
        </w:rPr>
        <w:t>关于广东省困难群众医疗救助的暂行办法</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i w:val="0"/>
          <w:iCs w:val="0"/>
          <w:caps w:val="0"/>
          <w:snapToGrid w:val="0"/>
          <w:color w:val="auto"/>
          <w:spacing w:val="0"/>
          <w:sz w:val="32"/>
          <w:szCs w:val="32"/>
          <w:highlight w:val="none"/>
          <w:vertAlign w:val="baseline"/>
        </w:rPr>
        <w:t>（粤民发〔2016〕184号）</w:t>
      </w:r>
      <w:r>
        <w:rPr>
          <w:rFonts w:hint="default" w:ascii="Times New Roman" w:hAnsi="Times New Roman" w:eastAsia="仿宋_GB2312" w:cs="Times New Roman"/>
          <w:b w:val="0"/>
          <w:bCs w:val="0"/>
          <w:i w:val="0"/>
          <w:iCs w:val="0"/>
          <w:caps w:val="0"/>
          <w:snapToGrid w:val="0"/>
          <w:color w:val="auto"/>
          <w:spacing w:val="0"/>
          <w:sz w:val="32"/>
          <w:szCs w:val="32"/>
          <w:highlight w:val="none"/>
          <w:vertAlign w:val="baseli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《关于进一步推进疾病应急救助工作的通知</w:t>
      </w:r>
      <w:r>
        <w:rPr>
          <w:rFonts w:hint="default" w:ascii="Times New Roman" w:hAnsi="Times New Roman" w:eastAsia="仿宋_GB2312" w:cs="Times New Roman"/>
          <w:b w:val="0"/>
          <w:bCs w:val="0"/>
          <w:snapToGrid w:val="0"/>
          <w:color w:val="auto"/>
          <w:sz w:val="32"/>
          <w:szCs w:val="32"/>
          <w:highlight w:val="none"/>
          <w:lang w:val="en-US" w:eastAsia="zh-CN"/>
        </w:rPr>
        <w:t>》和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《关于改革完善社会救助制度的实施方案》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粤办发〔2021〕12号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等文件规定，严格按照核定的</w:t>
      </w:r>
      <w:r>
        <w:rPr>
          <w:rFonts w:hint="default" w:ascii="Times New Roman" w:hAnsi="Times New Roman" w:eastAsia="仿宋_GB2312" w:cs="Times New Roman"/>
          <w:b w:val="0"/>
          <w:bCs w:val="0"/>
          <w:snapToGrid w:val="0"/>
          <w:color w:val="auto"/>
          <w:sz w:val="32"/>
          <w:szCs w:val="32"/>
          <w:highlight w:val="none"/>
        </w:rPr>
        <w:t>支出范国、支出用途</w:t>
      </w:r>
      <w:r>
        <w:rPr>
          <w:rFonts w:hint="default" w:ascii="Times New Roman" w:hAnsi="Times New Roman" w:eastAsia="仿宋_GB2312" w:cs="Times New Roman"/>
          <w:b w:val="0"/>
          <w:bCs w:val="0"/>
          <w:snapToGrid w:val="0"/>
          <w:color w:val="auto"/>
          <w:sz w:val="32"/>
          <w:szCs w:val="32"/>
          <w:highlight w:val="none"/>
          <w:lang w:val="en-US" w:eastAsia="zh-CN"/>
        </w:rPr>
        <w:t>以及支出管理办法使用资金</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涉及政府采购的，严格按照政府采购有关法律法规及制度执行，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确保</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管好用好</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资金</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加强会计核算工作。全部中央转移支付资金实行专款专用、专账核算，真实全面反映预算执行情况和财务信息</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加强监督管理。一方面，依托省财政资金“双监控”系统实施常态化监督，盯紧资金流向和具体支出情况；另一方面，通过审计、财政监督、检查督导、绩效评价等方式强化资金使用规范性检查，对发现的问题，要求各地各单位全面组织核查，省卫生健康委主管处室负责重点核查，并及时采取有效措施纠偏纠错，确保资金使用合法合规有效</w:t>
      </w:r>
      <w:r>
        <w:rPr>
          <w:rFonts w:hint="default"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经审查各地各单位提交的自评材料，</w:t>
      </w:r>
      <w:r>
        <w:rPr>
          <w:rFonts w:hint="default" w:ascii="Times New Roman" w:hAnsi="Times New Roman" w:eastAsia="仿宋_GB2312" w:cs="Times New Roman"/>
          <w:snapToGrid w:val="0"/>
          <w:color w:val="auto"/>
          <w:kern w:val="2"/>
          <w:sz w:val="32"/>
          <w:szCs w:val="32"/>
          <w:highlight w:val="none"/>
          <w:lang w:eastAsia="zh-CN"/>
        </w:rPr>
        <w:t>各</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地和有关单位</w:t>
      </w:r>
      <w:r>
        <w:rPr>
          <w:rFonts w:hint="default" w:ascii="Times New Roman" w:hAnsi="Times New Roman" w:eastAsia="仿宋_GB2312" w:cs="Times New Roman"/>
          <w:snapToGrid w:val="0"/>
          <w:color w:val="auto"/>
          <w:kern w:val="2"/>
          <w:sz w:val="32"/>
          <w:szCs w:val="32"/>
          <w:highlight w:val="none"/>
          <w:lang w:eastAsia="zh-CN"/>
        </w:rPr>
        <w:t>资金</w:t>
      </w:r>
      <w:r>
        <w:rPr>
          <w:rFonts w:hint="default" w:ascii="Times New Roman" w:hAnsi="Times New Roman" w:eastAsia="仿宋_GB2312" w:cs="Times New Roman"/>
          <w:snapToGrid w:val="0"/>
          <w:color w:val="auto"/>
          <w:kern w:val="2"/>
          <w:sz w:val="32"/>
          <w:szCs w:val="32"/>
          <w:highlight w:val="none"/>
          <w:lang w:val="en-US" w:eastAsia="zh-CN"/>
        </w:rPr>
        <w:t>管理</w:t>
      </w:r>
      <w:r>
        <w:rPr>
          <w:rFonts w:hint="default" w:ascii="Times New Roman" w:hAnsi="Times New Roman" w:eastAsia="仿宋_GB2312" w:cs="Times New Roman"/>
          <w:snapToGrid w:val="0"/>
          <w:color w:val="auto"/>
          <w:kern w:val="2"/>
          <w:sz w:val="32"/>
          <w:szCs w:val="32"/>
          <w:highlight w:val="none"/>
          <w:lang w:eastAsia="zh-CN"/>
        </w:rPr>
        <w:t>制度执行良好</w:t>
      </w:r>
      <w:r>
        <w:rPr>
          <w:rFonts w:hint="default" w:ascii="Times New Roman" w:hAnsi="Times New Roman" w:eastAsia="仿宋_GB2312" w:cs="Times New Roman"/>
          <w:snapToGrid w:val="0"/>
          <w:color w:val="auto"/>
          <w:kern w:val="2"/>
          <w:sz w:val="32"/>
          <w:szCs w:val="32"/>
          <w:highlight w:val="none"/>
        </w:rPr>
        <w:t>，会计核算</w:t>
      </w:r>
      <w:r>
        <w:rPr>
          <w:rFonts w:hint="default" w:ascii="Times New Roman" w:hAnsi="Times New Roman" w:eastAsia="仿宋_GB2312" w:cs="Times New Roman"/>
          <w:snapToGrid w:val="0"/>
          <w:color w:val="auto"/>
          <w:kern w:val="2"/>
          <w:sz w:val="32"/>
          <w:szCs w:val="32"/>
          <w:highlight w:val="none"/>
          <w:lang w:eastAsia="zh-CN"/>
        </w:rPr>
        <w:t>相对规范</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rPr>
        <w:t>严格按照下达预算的科目和项目执行</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rPr>
        <w:t>未出现截留、挤占、挪用或擅自调整等问题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使用规范性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sz w:val="32"/>
          <w:szCs w:val="32"/>
          <w:highlight w:val="none"/>
          <w:lang w:val="en-US" w:eastAsia="zh-CN"/>
        </w:rPr>
        <w:t>5</w:t>
      </w:r>
      <w:r>
        <w:rPr>
          <w:rFonts w:hint="default" w:ascii="仿宋_GB2312" w:hAnsi="仿宋_GB2312" w:eastAsia="仿宋_GB2312" w:cs="仿宋_GB2312"/>
          <w:b/>
          <w:bCs/>
          <w:snapToGrid w:val="0"/>
          <w:color w:val="auto"/>
          <w:sz w:val="32"/>
          <w:szCs w:val="32"/>
          <w:highlight w:val="none"/>
          <w:lang w:val="en-US" w:eastAsia="zh-CN"/>
        </w:rPr>
        <w:t>.执行</w:t>
      </w:r>
      <w:r>
        <w:rPr>
          <w:rFonts w:hint="default" w:ascii="Times New Roman" w:hAnsi="Times New Roman" w:eastAsia="仿宋_GB2312" w:cs="Times New Roman"/>
          <w:b/>
          <w:bCs/>
          <w:snapToGrid w:val="0"/>
          <w:color w:val="auto"/>
          <w:sz w:val="32"/>
          <w:szCs w:val="32"/>
          <w:highlight w:val="none"/>
        </w:rPr>
        <w:t>准确性。</w:t>
      </w:r>
      <w:r>
        <w:rPr>
          <w:rFonts w:hint="default" w:ascii="Times New Roman" w:hAnsi="Times New Roman" w:eastAsia="仿宋_GB2312" w:cs="Times New Roman"/>
          <w:b w:val="0"/>
          <w:bCs w:val="0"/>
          <w:snapToGrid w:val="0"/>
          <w:color w:val="auto"/>
          <w:sz w:val="32"/>
          <w:szCs w:val="32"/>
          <w:highlight w:val="none"/>
          <w:lang w:val="en-US" w:eastAsia="zh-CN"/>
        </w:rPr>
        <w:t>我省各级严格</w:t>
      </w:r>
      <w:r>
        <w:rPr>
          <w:rFonts w:hint="default" w:ascii="Times New Roman" w:hAnsi="Times New Roman" w:eastAsia="仿宋_GB2312" w:cs="Times New Roman"/>
          <w:b w:val="0"/>
          <w:bCs w:val="0"/>
          <w:snapToGrid w:val="0"/>
          <w:color w:val="auto"/>
          <w:sz w:val="32"/>
          <w:szCs w:val="32"/>
          <w:highlight w:val="none"/>
        </w:rPr>
        <w:t>按照</w:t>
      </w:r>
      <w:r>
        <w:rPr>
          <w:rFonts w:hint="default" w:ascii="Times New Roman" w:hAnsi="Times New Roman" w:eastAsia="仿宋_GB2312" w:cs="Times New Roman"/>
          <w:b w:val="0"/>
          <w:bCs w:val="0"/>
          <w:snapToGrid w:val="0"/>
          <w:color w:val="auto"/>
          <w:sz w:val="32"/>
          <w:szCs w:val="32"/>
          <w:highlight w:val="none"/>
          <w:lang w:val="en-US" w:eastAsia="zh-CN"/>
        </w:rPr>
        <w:t>中央</w:t>
      </w:r>
      <w:r>
        <w:rPr>
          <w:rFonts w:hint="default" w:ascii="Times New Roman" w:hAnsi="Times New Roman" w:eastAsia="仿宋_GB2312" w:cs="Times New Roman"/>
          <w:b w:val="0"/>
          <w:bCs w:val="0"/>
          <w:snapToGrid w:val="0"/>
          <w:color w:val="auto"/>
          <w:sz w:val="32"/>
          <w:szCs w:val="32"/>
          <w:highlight w:val="none"/>
        </w:rPr>
        <w:t>下达</w:t>
      </w:r>
      <w:r>
        <w:rPr>
          <w:rFonts w:hint="default" w:ascii="Times New Roman" w:hAnsi="Times New Roman" w:eastAsia="仿宋_GB2312" w:cs="Times New Roman"/>
          <w:b w:val="0"/>
          <w:bCs w:val="0"/>
          <w:snapToGrid w:val="0"/>
          <w:color w:val="auto"/>
          <w:sz w:val="32"/>
          <w:szCs w:val="32"/>
          <w:highlight w:val="none"/>
          <w:lang w:val="en-US" w:eastAsia="zh-CN"/>
        </w:rPr>
        <w:t>和本级预算</w:t>
      </w:r>
      <w:r>
        <w:rPr>
          <w:rFonts w:hint="default" w:ascii="Times New Roman" w:hAnsi="Times New Roman" w:eastAsia="仿宋_GB2312" w:cs="Times New Roman"/>
          <w:b w:val="0"/>
          <w:bCs w:val="0"/>
          <w:snapToGrid w:val="0"/>
          <w:color w:val="auto"/>
          <w:sz w:val="32"/>
          <w:szCs w:val="32"/>
          <w:highlight w:val="none"/>
        </w:rPr>
        <w:t>安排</w:t>
      </w:r>
      <w:r>
        <w:rPr>
          <w:rFonts w:hint="default" w:ascii="Times New Roman" w:hAnsi="Times New Roman" w:eastAsia="仿宋_GB2312" w:cs="Times New Roman"/>
          <w:b w:val="0"/>
          <w:bCs w:val="0"/>
          <w:snapToGrid w:val="0"/>
          <w:color w:val="auto"/>
          <w:sz w:val="32"/>
          <w:szCs w:val="32"/>
          <w:highlight w:val="none"/>
          <w:lang w:val="en-US" w:eastAsia="zh-CN"/>
        </w:rPr>
        <w:t>的资金</w:t>
      </w:r>
      <w:r>
        <w:rPr>
          <w:rFonts w:hint="default" w:ascii="Times New Roman" w:hAnsi="Times New Roman" w:eastAsia="仿宋_GB2312" w:cs="Times New Roman"/>
          <w:b w:val="0"/>
          <w:bCs w:val="0"/>
          <w:snapToGrid w:val="0"/>
          <w:color w:val="auto"/>
          <w:sz w:val="32"/>
          <w:szCs w:val="32"/>
          <w:highlight w:val="none"/>
        </w:rPr>
        <w:t>执行</w:t>
      </w:r>
      <w:r>
        <w:rPr>
          <w:rFonts w:hint="default"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我省</w:t>
      </w:r>
      <w:r>
        <w:rPr>
          <w:rFonts w:hint="default" w:ascii="Times New Roman" w:hAnsi="Times New Roman" w:eastAsia="仿宋_GB2312" w:cs="Times New Roman"/>
          <w:b w:val="0"/>
          <w:bCs w:val="0"/>
          <w:snapToGrid w:val="0"/>
          <w:color w:val="auto"/>
          <w:sz w:val="32"/>
          <w:szCs w:val="32"/>
          <w:highlight w:val="none"/>
          <w:lang w:val="en-US" w:eastAsia="zh-CN"/>
        </w:rPr>
        <w:t>2022年度</w:t>
      </w:r>
      <w:r>
        <w:rPr>
          <w:rFonts w:hint="default" w:ascii="Times New Roman" w:hAnsi="Times New Roman" w:eastAsia="仿宋_GB2312" w:cs="Times New Roman"/>
          <w:b w:val="0"/>
          <w:bCs w:val="0"/>
          <w:snapToGrid w:val="0"/>
          <w:color w:val="auto"/>
          <w:sz w:val="32"/>
          <w:szCs w:val="32"/>
          <w:highlight w:val="none"/>
          <w:lang w:eastAsia="zh-CN"/>
        </w:rPr>
        <w:t>疾病应急救助</w:t>
      </w:r>
      <w:r>
        <w:rPr>
          <w:rFonts w:hint="default" w:ascii="Times New Roman" w:hAnsi="Times New Roman" w:eastAsia="仿宋_GB2312" w:cs="Times New Roman"/>
          <w:b w:val="0"/>
          <w:bCs w:val="0"/>
          <w:snapToGrid w:val="0"/>
          <w:color w:val="auto"/>
          <w:sz w:val="32"/>
          <w:szCs w:val="32"/>
          <w:highlight w:val="none"/>
          <w:lang w:val="en-US" w:eastAsia="zh-CN"/>
        </w:rPr>
        <w:t>中央转移支付</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预算执行率92.18%</w:t>
      </w:r>
      <w:r>
        <w:rPr>
          <w:rFonts w:hint="default" w:ascii="Times New Roman" w:hAnsi="Times New Roman" w:eastAsia="仿宋_GB2312" w:cs="Times New Roman"/>
          <w:b w:val="0"/>
          <w:bCs w:val="0"/>
          <w:snapToGrid w:val="0"/>
          <w:color w:val="auto"/>
          <w:sz w:val="32"/>
          <w:szCs w:val="32"/>
          <w:highlight w:val="none"/>
          <w:lang w:val="en-US" w:eastAsia="zh-CN"/>
        </w:rPr>
        <w:t>，中央转移支付结余资金195.18万元，结余率7.82%。2022年没有发生预算调整或者项目调整事宜，预算执行准确，</w:t>
      </w:r>
      <w:r>
        <w:rPr>
          <w:rFonts w:hint="default" w:ascii="Times New Roman" w:hAnsi="Times New Roman" w:eastAsia="仿宋_GB2312" w:cs="Times New Roman"/>
          <w:b w:val="0"/>
          <w:bCs w:val="0"/>
          <w:snapToGrid w:val="0"/>
          <w:color w:val="auto"/>
          <w:sz w:val="32"/>
          <w:szCs w:val="32"/>
          <w:highlight w:val="none"/>
        </w:rPr>
        <w:t>不存在执行数偏离预算数较多的问题</w:t>
      </w:r>
      <w:r>
        <w:rPr>
          <w:rFonts w:hint="default" w:ascii="Times New Roman" w:hAnsi="Times New Roman" w:eastAsia="仿宋_GB2312" w:cs="Times New Roman"/>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6</w:t>
      </w:r>
      <w:r>
        <w:rPr>
          <w:rFonts w:hint="default" w:ascii="仿宋_GB2312" w:hAnsi="仿宋_GB2312" w:eastAsia="仿宋_GB2312" w:cs="仿宋_GB2312"/>
          <w:b/>
          <w:bCs/>
          <w:snapToGrid w:val="0"/>
          <w:color w:val="auto"/>
          <w:sz w:val="32"/>
          <w:szCs w:val="32"/>
          <w:highlight w:val="none"/>
          <w:lang w:val="en-US" w:eastAsia="zh-CN"/>
        </w:rPr>
        <w:t>.预算</w:t>
      </w:r>
      <w:r>
        <w:rPr>
          <w:rFonts w:hint="default" w:ascii="Times New Roman" w:hAnsi="Times New Roman" w:eastAsia="仿宋_GB2312" w:cs="Times New Roman"/>
          <w:b/>
          <w:bCs/>
          <w:snapToGrid w:val="0"/>
          <w:color w:val="auto"/>
          <w:sz w:val="32"/>
          <w:szCs w:val="32"/>
          <w:highlight w:val="none"/>
        </w:rPr>
        <w:t>绩效管理情况。</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制定出台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《广东省卫生健康领域全面实施预算绩效管理工作实施方案》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《广东省卫生健康委关于印发广东省卫生健康委部门预算绩效管理暂行办法的通知》</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全面加强全省</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卫生健康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领域</w:t>
      </w:r>
      <w:r>
        <w:rPr>
          <w:rFonts w:hint="default" w:ascii="Times New Roman" w:hAnsi="Times New Roman" w:eastAsia="仿宋_GB2312" w:cs="Times New Roman"/>
          <w:snapToGrid w:val="0"/>
          <w:color w:val="auto"/>
          <w:sz w:val="32"/>
          <w:szCs w:val="32"/>
          <w:highlight w:val="none"/>
        </w:rPr>
        <w:t>预算绩效管理工作，</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形成预算编制有目标、</w:t>
      </w:r>
      <w:r>
        <w:rPr>
          <w:rFonts w:hint="default" w:ascii="Times New Roman" w:hAnsi="Times New Roman" w:eastAsia="仿宋_GB2312" w:cs="Times New Roman"/>
          <w:snapToGrid w:val="0"/>
          <w:color w:val="auto"/>
          <w:sz w:val="32"/>
          <w:szCs w:val="32"/>
          <w:highlight w:val="none"/>
        </w:rPr>
        <w:t>事前</w:t>
      </w:r>
      <w:r>
        <w:rPr>
          <w:rFonts w:hint="default" w:ascii="Times New Roman" w:hAnsi="Times New Roman" w:eastAsia="仿宋_GB2312" w:cs="Times New Roman"/>
          <w:snapToGrid w:val="0"/>
          <w:color w:val="auto"/>
          <w:sz w:val="32"/>
          <w:szCs w:val="32"/>
          <w:highlight w:val="none"/>
          <w:lang w:val="en-US" w:eastAsia="zh-CN"/>
        </w:rPr>
        <w:t>有</w:t>
      </w:r>
      <w:r>
        <w:rPr>
          <w:rFonts w:hint="default" w:ascii="Times New Roman" w:hAnsi="Times New Roman" w:eastAsia="仿宋_GB2312" w:cs="Times New Roman"/>
          <w:snapToGrid w:val="0"/>
          <w:color w:val="auto"/>
          <w:sz w:val="32"/>
          <w:szCs w:val="32"/>
          <w:highlight w:val="none"/>
        </w:rPr>
        <w:t>绩效评估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绩效运行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有监控、</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项目结束</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有评价、评价结果有应用的</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预算绩效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管理</w:t>
      </w:r>
      <w:r>
        <w:rPr>
          <w:rFonts w:hint="default" w:ascii="Times New Roman" w:hAnsi="Times New Roman" w:eastAsia="仿宋_GB2312" w:cs="Times New Roman"/>
          <w:snapToGrid w:val="0"/>
          <w:color w:val="auto"/>
          <w:sz w:val="32"/>
          <w:szCs w:val="32"/>
          <w:highlight w:val="none"/>
          <w:lang w:val="en-US" w:eastAsia="zh-CN"/>
        </w:rPr>
        <w:t>机制，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切实提高财政资金使用效益</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及时</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val="en-US" w:eastAsia="zh-CN"/>
        </w:rPr>
        <w:t>对下</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分解国家绩效目标任务</w:t>
      </w:r>
      <w:r>
        <w:rPr>
          <w:rFonts w:hint="default" w:ascii="Times New Roman" w:hAnsi="Times New Roman" w:eastAsia="仿宋_GB2312" w:cs="Times New Roman"/>
          <w:b w:val="0"/>
          <w:bCs w:val="0"/>
          <w:snapToGrid w:val="0"/>
          <w:color w:val="auto"/>
          <w:sz w:val="32"/>
          <w:szCs w:val="32"/>
          <w:highlight w:val="none"/>
        </w:rPr>
        <w:t>，将有</w:t>
      </w:r>
      <w:r>
        <w:rPr>
          <w:rFonts w:hint="default" w:ascii="Times New Roman" w:hAnsi="Times New Roman" w:eastAsia="仿宋_GB2312" w:cs="Times New Roman"/>
          <w:b w:val="0"/>
          <w:bCs w:val="0"/>
          <w:snapToGrid w:val="0"/>
          <w:color w:val="auto"/>
          <w:sz w:val="32"/>
          <w:szCs w:val="32"/>
          <w:highlight w:val="none"/>
          <w:lang w:val="en-US" w:eastAsia="zh-CN"/>
        </w:rPr>
        <w:t>关</w:t>
      </w:r>
      <w:r>
        <w:rPr>
          <w:rFonts w:hint="default" w:ascii="Times New Roman" w:hAnsi="Times New Roman" w:eastAsia="仿宋_GB2312" w:cs="Times New Roman"/>
          <w:b w:val="0"/>
          <w:bCs w:val="0"/>
          <w:snapToGrid w:val="0"/>
          <w:color w:val="auto"/>
          <w:sz w:val="32"/>
          <w:szCs w:val="32"/>
          <w:highlight w:val="none"/>
        </w:rPr>
        <w:t>资金纳入</w:t>
      </w:r>
      <w:r>
        <w:rPr>
          <w:rFonts w:hint="default" w:ascii="Times New Roman" w:hAnsi="Times New Roman" w:eastAsia="仿宋_GB2312" w:cs="Times New Roman"/>
          <w:b w:val="0"/>
          <w:bCs w:val="0"/>
          <w:snapToGrid w:val="0"/>
          <w:color w:val="auto"/>
          <w:sz w:val="32"/>
          <w:szCs w:val="32"/>
          <w:highlight w:val="none"/>
          <w:lang w:val="en-US" w:eastAsia="zh-CN"/>
        </w:rPr>
        <w:t>本</w:t>
      </w:r>
      <w:r>
        <w:rPr>
          <w:rFonts w:hint="default" w:ascii="Times New Roman" w:hAnsi="Times New Roman" w:eastAsia="仿宋_GB2312" w:cs="Times New Roman"/>
          <w:b w:val="0"/>
          <w:bCs w:val="0"/>
          <w:snapToGrid w:val="0"/>
          <w:color w:val="auto"/>
          <w:sz w:val="32"/>
          <w:szCs w:val="32"/>
          <w:highlight w:val="none"/>
        </w:rPr>
        <w:t>级</w:t>
      </w:r>
      <w:r>
        <w:rPr>
          <w:rFonts w:hint="default" w:ascii="Times New Roman" w:hAnsi="Times New Roman" w:eastAsia="仿宋_GB2312" w:cs="Times New Roman"/>
          <w:b w:val="0"/>
          <w:bCs w:val="0"/>
          <w:snapToGrid w:val="0"/>
          <w:color w:val="auto"/>
          <w:sz w:val="32"/>
          <w:szCs w:val="32"/>
          <w:highlight w:val="none"/>
          <w:lang w:val="en-US" w:eastAsia="zh-CN"/>
        </w:rPr>
        <w:t>预</w:t>
      </w:r>
      <w:r>
        <w:rPr>
          <w:rFonts w:hint="default" w:ascii="Times New Roman" w:hAnsi="Times New Roman" w:eastAsia="仿宋_GB2312" w:cs="Times New Roman"/>
          <w:b w:val="0"/>
          <w:bCs w:val="0"/>
          <w:snapToGrid w:val="0"/>
          <w:color w:val="auto"/>
          <w:sz w:val="32"/>
          <w:szCs w:val="32"/>
          <w:highlight w:val="none"/>
        </w:rPr>
        <w:t>算</w:t>
      </w:r>
      <w:r>
        <w:rPr>
          <w:rFonts w:hint="default" w:ascii="Times New Roman" w:hAnsi="Times New Roman" w:eastAsia="仿宋_GB2312"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对下</w:t>
      </w:r>
      <w:r>
        <w:rPr>
          <w:rFonts w:hint="default" w:ascii="Times New Roman" w:hAnsi="Times New Roman" w:eastAsia="仿宋_GB2312" w:cs="Times New Roman"/>
          <w:b w:val="0"/>
          <w:bCs w:val="0"/>
          <w:snapToGrid w:val="0"/>
          <w:color w:val="auto"/>
          <w:sz w:val="32"/>
          <w:szCs w:val="32"/>
          <w:highlight w:val="none"/>
          <w:lang w:val="en-US" w:eastAsia="zh-CN"/>
        </w:rPr>
        <w:t>转移</w:t>
      </w:r>
      <w:r>
        <w:rPr>
          <w:rFonts w:hint="default" w:ascii="Times New Roman" w:hAnsi="Times New Roman" w:eastAsia="仿宋_GB2312" w:cs="Times New Roman"/>
          <w:b w:val="0"/>
          <w:bCs w:val="0"/>
          <w:snapToGrid w:val="0"/>
          <w:color w:val="auto"/>
          <w:sz w:val="32"/>
          <w:szCs w:val="32"/>
          <w:highlight w:val="none"/>
        </w:rPr>
        <w:t>支付</w:t>
      </w:r>
      <w:r>
        <w:rPr>
          <w:rFonts w:hint="default" w:ascii="Times New Roman" w:hAnsi="Times New Roman" w:eastAsia="仿宋_GB2312" w:cs="Times New Roman"/>
          <w:b w:val="0"/>
          <w:bCs w:val="0"/>
          <w:snapToGrid w:val="0"/>
          <w:color w:val="auto"/>
          <w:sz w:val="32"/>
          <w:szCs w:val="32"/>
          <w:highlight w:val="none"/>
          <w:lang w:val="en-US" w:eastAsia="zh-CN"/>
        </w:rPr>
        <w:t>的</w:t>
      </w:r>
      <w:r>
        <w:rPr>
          <w:rFonts w:hint="default" w:ascii="Times New Roman" w:hAnsi="Times New Roman" w:eastAsia="仿宋_GB2312" w:cs="Times New Roman"/>
          <w:b w:val="0"/>
          <w:bCs w:val="0"/>
          <w:snapToGrid w:val="0"/>
          <w:color w:val="auto"/>
          <w:sz w:val="32"/>
          <w:szCs w:val="32"/>
          <w:highlight w:val="none"/>
        </w:rPr>
        <w:t>绩效管理</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省卫生健康委商省财政厅科学设定了绩效目标和绩效指标，并在向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正式下达转移支付预算时</w:t>
      </w:r>
      <w:r>
        <w:rPr>
          <w:rFonts w:hint="default" w:ascii="Times New Roman" w:hAnsi="Times New Roman" w:eastAsia="仿宋_GB2312" w:cs="Times New Roman"/>
          <w:b w:val="0"/>
          <w:bCs w:val="0"/>
          <w:snapToGrid w:val="0"/>
          <w:color w:val="auto"/>
          <w:sz w:val="32"/>
          <w:szCs w:val="32"/>
          <w:highlight w:val="none"/>
        </w:rPr>
        <w:t>同步下达</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同时抄送财政部广东监管局。</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做好绩效运行监控工作。先后</w:t>
      </w:r>
      <w:r>
        <w:rPr>
          <w:rFonts w:hint="default" w:ascii="Times New Roman" w:hAnsi="Times New Roman" w:eastAsia="仿宋_GB2312" w:cs="Times New Roman"/>
          <w:snapToGrid w:val="0"/>
          <w:color w:val="auto"/>
          <w:sz w:val="32"/>
          <w:szCs w:val="32"/>
          <w:highlight w:val="none"/>
          <w:lang w:val="en-US" w:eastAsia="zh-CN"/>
        </w:rPr>
        <w:t>制订了《关于建立预算支出执行定期分析机制的通知》（粤财预〔2019〕27号）、《广东省卫生健康委办公室关于建立预算支出执行定期分析机制的通知》(粤卫办函〔2019〕96号）、</w:t>
      </w:r>
      <w:r>
        <w:rPr>
          <w:rFonts w:hint="default" w:ascii="Times New Roman" w:hAnsi="Times New Roman" w:eastAsia="仿宋_GB2312" w:cs="Times New Roman"/>
          <w:snapToGrid w:val="0"/>
          <w:color w:val="auto"/>
          <w:sz w:val="32"/>
          <w:szCs w:val="32"/>
          <w:highlight w:val="none"/>
          <w:lang w:eastAsia="zh-CN"/>
        </w:rPr>
        <w:t>《省卫生健康委预算执行支出进度通报办法（试行）》（粤卫办财务函〔2022〕20号）</w:t>
      </w:r>
      <w:r>
        <w:rPr>
          <w:rFonts w:hint="default" w:ascii="Times New Roman" w:hAnsi="Times New Roman" w:eastAsia="仿宋_GB2312" w:cs="Times New Roman"/>
          <w:snapToGrid w:val="0"/>
          <w:color w:val="auto"/>
          <w:sz w:val="32"/>
          <w:szCs w:val="32"/>
          <w:highlight w:val="none"/>
          <w:lang w:val="en-US" w:eastAsia="zh-CN"/>
        </w:rPr>
        <w:t>等文件</w:t>
      </w:r>
      <w:r>
        <w:rPr>
          <w:rFonts w:hint="default" w:ascii="Times New Roman" w:hAnsi="Times New Roman" w:eastAsia="仿宋_GB2312" w:cs="Times New Roman"/>
          <w:snapToGrid w:val="0"/>
          <w:color w:val="auto"/>
          <w:sz w:val="32"/>
          <w:szCs w:val="32"/>
          <w:highlight w:val="none"/>
          <w:lang w:eastAsia="zh-CN"/>
        </w:rPr>
        <w:t>。此外还</w:t>
      </w:r>
      <w:r>
        <w:rPr>
          <w:rFonts w:hint="default" w:ascii="Times New Roman" w:hAnsi="Times New Roman" w:eastAsia="仿宋_GB2312" w:cs="Times New Roman"/>
          <w:snapToGrid w:val="0"/>
          <w:color w:val="auto"/>
          <w:sz w:val="32"/>
          <w:szCs w:val="32"/>
          <w:highlight w:val="none"/>
          <w:lang w:val="en-US" w:eastAsia="zh-CN"/>
        </w:rPr>
        <w:t>对中央转移支付资金支出进度实施月通报制度，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督导不力、下拨市县资金支出率偏低、指标落实严重滞后等问题提出改进建议和要求</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四是</w:t>
      </w:r>
      <w:r>
        <w:rPr>
          <w:rFonts w:hint="default" w:ascii="Times New Roman" w:hAnsi="Times New Roman" w:eastAsia="仿宋_GB2312" w:cs="Times New Roman"/>
          <w:b w:val="0"/>
          <w:bCs w:val="0"/>
          <w:snapToGrid w:val="0"/>
          <w:color w:val="auto"/>
          <w:sz w:val="32"/>
          <w:szCs w:val="32"/>
          <w:highlight w:val="none"/>
          <w:lang w:val="en-US" w:eastAsia="zh-CN"/>
        </w:rPr>
        <w:t>及时组织绩效评价工作。年度预算执行结束后，我省组织各地各单位对中央转移支付管理情况、绩效目标完成情况、政策和项目实施效果开展了绩效自评，并按要求及时将结果呈报中央主管部门。</w:t>
      </w:r>
      <w:r>
        <w:rPr>
          <w:rFonts w:hint="default" w:ascii="Times New Roman" w:hAnsi="Times New Roman" w:eastAsia="仿宋_GB2312" w:cs="Times New Roman"/>
          <w:b/>
          <w:bCs/>
          <w:snapToGrid w:val="0"/>
          <w:color w:val="auto"/>
          <w:sz w:val="32"/>
          <w:szCs w:val="32"/>
          <w:highlight w:val="none"/>
          <w:lang w:val="en-US" w:eastAsia="zh-CN"/>
        </w:rPr>
        <w:t>五是</w:t>
      </w:r>
      <w:r>
        <w:rPr>
          <w:rFonts w:hint="default" w:ascii="Times New Roman" w:hAnsi="Times New Roman" w:eastAsia="仿宋_GB2312" w:cs="Times New Roman"/>
          <w:b w:val="0"/>
          <w:bCs w:val="0"/>
          <w:snapToGrid w:val="0"/>
          <w:color w:val="auto"/>
          <w:sz w:val="32"/>
          <w:szCs w:val="32"/>
          <w:highlight w:val="none"/>
          <w:lang w:val="en-US" w:eastAsia="zh-CN"/>
        </w:rPr>
        <w:t>加强</w:t>
      </w:r>
      <w:r>
        <w:rPr>
          <w:rFonts w:hint="default" w:ascii="Times New Roman" w:hAnsi="Times New Roman" w:eastAsia="仿宋_GB2312" w:cs="Times New Roman"/>
          <w:snapToGrid w:val="0"/>
          <w:color w:val="auto"/>
          <w:sz w:val="32"/>
          <w:szCs w:val="32"/>
          <w:highlight w:val="none"/>
        </w:rPr>
        <w:t>绩效评价结果</w:t>
      </w:r>
      <w:r>
        <w:rPr>
          <w:rFonts w:hint="default" w:ascii="Times New Roman" w:hAnsi="Times New Roman" w:eastAsia="仿宋_GB2312" w:cs="Times New Roman"/>
          <w:snapToGrid w:val="0"/>
          <w:color w:val="auto"/>
          <w:sz w:val="32"/>
          <w:szCs w:val="32"/>
          <w:highlight w:val="none"/>
          <w:lang w:val="en-US" w:eastAsia="zh-CN"/>
        </w:rPr>
        <w:t>应用。</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广东省国家</w:t>
      </w:r>
      <w:r>
        <w:rPr>
          <w:rFonts w:hint="default" w:ascii="Times New Roman" w:hAnsi="Times New Roman" w:eastAsia="仿宋_GB2312" w:cs="Times New Roman"/>
          <w:b w:val="0"/>
          <w:bCs w:val="0"/>
          <w:snapToGrid w:val="0"/>
          <w:color w:val="auto"/>
          <w:sz w:val="32"/>
          <w:szCs w:val="32"/>
          <w:highlight w:val="none"/>
          <w:lang w:val="en-US" w:eastAsia="zh-CN"/>
        </w:rPr>
        <w:t>疾病应急救</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中央转移支付年度绩效自评报告主动在省卫生健康委门户网站公开，自觉接受公众监督。总体上，我省预算绩效管理做到预算编制有目标、绩效运行有监控、项目结束有评价、评价结果有应用的全过程管理，中央下达的总体目标及指标全部如期实现，被</w:t>
      </w:r>
      <w:r>
        <w:rPr>
          <w:rFonts w:hint="default" w:ascii="Times New Roman" w:hAnsi="Times New Roman" w:eastAsia="仿宋_GB2312" w:cs="Times New Roman"/>
          <w:b w:val="0"/>
          <w:bCs w:val="0"/>
          <w:snapToGrid w:val="0"/>
          <w:color w:val="auto"/>
          <w:sz w:val="32"/>
          <w:szCs w:val="32"/>
          <w:highlight w:val="none"/>
          <w:lang w:val="en-US" w:eastAsia="zh-CN"/>
        </w:rPr>
        <w:t>疾病应急救助患者及救治机构</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满意度较高，社会更加和谐稳定，</w:t>
      </w:r>
      <w:r>
        <w:rPr>
          <w:rFonts w:hint="default" w:ascii="Times New Roman" w:hAnsi="Times New Roman" w:eastAsia="仿宋_GB2312" w:cs="Times New Roman"/>
          <w:b w:val="0"/>
          <w:bCs w:val="0"/>
          <w:snapToGrid w:val="0"/>
          <w:color w:val="auto"/>
          <w:sz w:val="32"/>
          <w:szCs w:val="32"/>
          <w:highlight w:val="none"/>
          <w:lang w:val="en-US" w:eastAsia="zh-CN"/>
        </w:rPr>
        <w:t>疾病应急救助政策取得积极效果</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7</w:t>
      </w:r>
      <w:r>
        <w:rPr>
          <w:rFonts w:hint="default" w:ascii="仿宋_GB2312" w:hAnsi="仿宋_GB2312" w:eastAsia="仿宋_GB2312" w:cs="仿宋_GB2312"/>
          <w:b/>
          <w:bCs/>
          <w:snapToGrid w:val="0"/>
          <w:color w:val="auto"/>
          <w:sz w:val="32"/>
          <w:szCs w:val="32"/>
          <w:highlight w:val="none"/>
          <w:lang w:val="en-US" w:eastAsia="zh-CN"/>
        </w:rPr>
        <w:t>.支</w:t>
      </w:r>
      <w:r>
        <w:rPr>
          <w:rFonts w:hint="default" w:ascii="Times New Roman" w:hAnsi="Times New Roman" w:eastAsia="仿宋_GB2312" w:cs="Times New Roman"/>
          <w:b/>
          <w:bCs/>
          <w:snapToGrid w:val="0"/>
          <w:color w:val="auto"/>
          <w:sz w:val="32"/>
          <w:szCs w:val="32"/>
          <w:highlight w:val="none"/>
        </w:rPr>
        <w:t>出责任履行情况。</w:t>
      </w:r>
      <w:r>
        <w:rPr>
          <w:rFonts w:hint="default" w:ascii="Times New Roman" w:hAnsi="Times New Roman" w:eastAsia="仿宋_GB2312" w:cs="Times New Roman"/>
          <w:b w:val="0"/>
          <w:bCs w:val="0"/>
          <w:snapToGrid w:val="0"/>
          <w:color w:val="auto"/>
          <w:sz w:val="32"/>
          <w:szCs w:val="32"/>
          <w:highlight w:val="none"/>
        </w:rPr>
        <w:t>对共同财政事权转移支付，</w:t>
      </w:r>
      <w:r>
        <w:rPr>
          <w:rFonts w:hint="default" w:ascii="Times New Roman" w:hAnsi="Times New Roman" w:eastAsia="仿宋_GB2312" w:cs="Times New Roman"/>
          <w:b w:val="0"/>
          <w:bCs w:val="0"/>
          <w:snapToGrid w:val="0"/>
          <w:color w:val="auto"/>
          <w:sz w:val="32"/>
          <w:szCs w:val="32"/>
          <w:highlight w:val="none"/>
          <w:lang w:val="en-US" w:eastAsia="zh-CN"/>
        </w:rPr>
        <w:t>我省严格按照《国务院办公厅关于印发医疗卫生领域中央与地方财政事权和支出责任划分改革方案的通知》（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val="en-US" w:eastAsia="zh-CN" w:bidi="ar"/>
        </w:rPr>
        <w:t>国办发〔2018〕67号</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等文件规定，严格履行</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省财政安排2022年度</w:t>
      </w:r>
      <w:r>
        <w:rPr>
          <w:rFonts w:hint="default" w:ascii="Times New Roman" w:hAnsi="Times New Roman" w:eastAsia="仿宋_GB2312" w:cs="Times New Roman"/>
          <w:b w:val="0"/>
          <w:bCs w:val="0"/>
          <w:snapToGrid w:val="0"/>
          <w:color w:val="auto"/>
          <w:sz w:val="32"/>
          <w:szCs w:val="32"/>
          <w:highlight w:val="none"/>
          <w:lang w:eastAsia="zh-CN"/>
        </w:rPr>
        <w:t>疾病应急救</w:t>
      </w:r>
      <w:r>
        <w:rPr>
          <w:rFonts w:hint="default" w:ascii="Times New Roman" w:hAnsi="Times New Roman" w:eastAsia="仿宋_GB2312" w:cs="Times New Roman"/>
          <w:b w:val="0"/>
          <w:bCs w:val="0"/>
          <w:snapToGrid w:val="0"/>
          <w:color w:val="auto"/>
          <w:kern w:val="0"/>
          <w:sz w:val="32"/>
          <w:szCs w:val="32"/>
          <w:highlight w:val="none"/>
          <w:lang w:val="en-US" w:eastAsia="zh-CN" w:bidi="ar"/>
        </w:rPr>
        <w:t>配套资金</w:t>
      </w:r>
      <w:r>
        <w:rPr>
          <w:rFonts w:hint="default" w:ascii="Times New Roman" w:hAnsi="Times New Roman" w:eastAsia="仿宋_GB2312" w:cs="Times New Roman"/>
          <w:snapToGrid w:val="0"/>
          <w:color w:val="auto"/>
          <w:spacing w:val="0"/>
          <w:kern w:val="0"/>
          <w:sz w:val="32"/>
          <w:szCs w:val="32"/>
          <w:highlight w:val="none"/>
          <w:lang w:val="en-US" w:eastAsia="zh-CN"/>
        </w:rPr>
        <w:t>2,000.00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spacing w:val="0"/>
          <w:kern w:val="0"/>
          <w:sz w:val="32"/>
          <w:szCs w:val="32"/>
          <w:highlight w:val="none"/>
          <w:lang w:val="en-US" w:eastAsia="zh-CN"/>
        </w:rPr>
        <w:t>截至2022年12月31日，</w:t>
      </w:r>
      <w:r>
        <w:rPr>
          <w:rFonts w:hint="default" w:ascii="Times New Roman" w:hAnsi="Times New Roman" w:eastAsia="仿宋_GB2312" w:cs="Times New Roman"/>
          <w:b w:val="0"/>
          <w:bCs w:val="0"/>
          <w:snapToGrid w:val="0"/>
          <w:color w:val="auto"/>
          <w:sz w:val="32"/>
          <w:szCs w:val="32"/>
          <w:highlight w:val="none"/>
          <w:lang w:val="en-US" w:eastAsia="zh-CN"/>
        </w:rPr>
        <w:t>配套</w:t>
      </w:r>
      <w:r>
        <w:rPr>
          <w:rFonts w:hint="default" w:ascii="Times New Roman" w:hAnsi="Times New Roman" w:eastAsia="仿宋_GB2312" w:cs="Times New Roman"/>
          <w:b w:val="0"/>
          <w:bCs w:val="0"/>
          <w:snapToGrid w:val="0"/>
          <w:color w:val="auto"/>
          <w:sz w:val="32"/>
          <w:szCs w:val="32"/>
          <w:highlight w:val="none"/>
        </w:rPr>
        <w:t>资金</w:t>
      </w:r>
      <w:r>
        <w:rPr>
          <w:rFonts w:hint="default" w:ascii="Times New Roman" w:hAnsi="Times New Roman" w:eastAsia="仿宋_GB2312" w:cs="Times New Roman"/>
          <w:b w:val="0"/>
          <w:bCs w:val="0"/>
          <w:snapToGrid w:val="0"/>
          <w:color w:val="auto"/>
          <w:sz w:val="32"/>
          <w:szCs w:val="32"/>
          <w:highlight w:val="none"/>
          <w:lang w:val="en-US" w:eastAsia="zh-CN"/>
        </w:rPr>
        <w:t>已经</w:t>
      </w:r>
      <w:r>
        <w:rPr>
          <w:rFonts w:hint="default" w:ascii="Times New Roman" w:hAnsi="Times New Roman" w:eastAsia="仿宋_GB2312" w:cs="Times New Roman"/>
          <w:b w:val="0"/>
          <w:bCs w:val="0"/>
          <w:snapToGrid w:val="0"/>
          <w:color w:val="auto"/>
          <w:sz w:val="32"/>
          <w:szCs w:val="32"/>
          <w:highlight w:val="none"/>
        </w:rPr>
        <w:t>足额安排</w:t>
      </w:r>
      <w:r>
        <w:rPr>
          <w:rFonts w:hint="default" w:ascii="Times New Roman" w:hAnsi="Times New Roman" w:eastAsia="仿宋_GB2312" w:cs="Times New Roman"/>
          <w:b w:val="0"/>
          <w:bCs w:val="0"/>
          <w:snapToGrid w:val="0"/>
          <w:color w:val="auto"/>
          <w:sz w:val="32"/>
          <w:szCs w:val="32"/>
          <w:highlight w:val="none"/>
          <w:lang w:val="en-US" w:eastAsia="zh-CN"/>
        </w:rPr>
        <w:t>到位</w:t>
      </w:r>
      <w:r>
        <w:rPr>
          <w:rFonts w:hint="default" w:ascii="Times New Roman" w:hAnsi="Times New Roman" w:eastAsia="仿宋_GB2312" w:cs="Times New Roman"/>
          <w:b w:val="0"/>
          <w:bCs w:val="0"/>
          <w:snapToGrid w:val="0"/>
          <w:color w:val="auto"/>
          <w:kern w:val="0"/>
          <w:sz w:val="32"/>
          <w:szCs w:val="32"/>
          <w:highlight w:val="none"/>
          <w:lang w:val="en-US" w:eastAsia="zh-CN" w:bidi="ar"/>
        </w:rPr>
        <w:t>，切实履行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财政事权</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eastAsia="zh-CN"/>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w:t>
      </w:r>
      <w:r>
        <w:rPr>
          <w:rFonts w:hint="eastAsia" w:ascii="楷体_GB2312" w:hAnsi="楷体_GB2312" w:eastAsia="楷体_GB2312" w:cs="楷体_GB2312"/>
          <w:b w:val="0"/>
          <w:bCs w:val="0"/>
          <w:snapToGrid w:val="0"/>
          <w:color w:val="auto"/>
          <w:sz w:val="32"/>
          <w:szCs w:val="32"/>
          <w:highlight w:val="none"/>
          <w:lang w:val="en-US" w:eastAsia="zh-CN"/>
        </w:rPr>
        <w:t>三</w:t>
      </w:r>
      <w:r>
        <w:rPr>
          <w:rFonts w:hint="eastAsia" w:ascii="楷体_GB2312" w:hAnsi="楷体_GB2312" w:eastAsia="楷体_GB2312" w:cs="楷体_GB2312"/>
          <w:b w:val="0"/>
          <w:bCs w:val="0"/>
          <w:snapToGrid w:val="0"/>
          <w:color w:val="auto"/>
          <w:sz w:val="32"/>
          <w:szCs w:val="32"/>
          <w:highlight w:val="none"/>
        </w:rPr>
        <w:t>）总体绩效目标完成情况分析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kinsoku/>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eastAsia="zh-CN"/>
        </w:rPr>
        <w:t>我省高度重视疾病应急救助工作，</w:t>
      </w:r>
      <w:r>
        <w:rPr>
          <w:rFonts w:hint="default" w:ascii="Times New Roman" w:hAnsi="Times New Roman" w:eastAsia="仿宋_GB2312" w:cs="Times New Roman"/>
          <w:b w:val="0"/>
          <w:bCs w:val="0"/>
          <w:snapToGrid w:val="0"/>
          <w:color w:val="auto"/>
          <w:sz w:val="32"/>
          <w:szCs w:val="32"/>
          <w:highlight w:val="none"/>
          <w:lang w:val="en-US" w:eastAsia="zh-CN"/>
        </w:rPr>
        <w:t>《关于建立广东省疾病应急救助制度的实施意见》（粤府办〔2014〕63号），明确从2104年起，省财政每年增加安排省级医疗救助资金2,000.00万元，专项配套疾病应急救助基金补助。要求各地级以上市于2014年12月30日前设立本级疾病应急救助基金。2022年，各级部门严格执行资金申请核报程序，及时审核，及时拨付，年度</w:t>
      </w:r>
      <w:r>
        <w:rPr>
          <w:rFonts w:hint="default" w:ascii="Times New Roman" w:hAnsi="Times New Roman" w:eastAsia="仿宋_GB2312" w:cs="Times New Roman"/>
          <w:b w:val="0"/>
          <w:bCs w:val="0"/>
          <w:snapToGrid w:val="0"/>
          <w:color w:val="auto"/>
          <w:sz w:val="32"/>
          <w:szCs w:val="32"/>
          <w:highlight w:val="none"/>
        </w:rPr>
        <w:t>总体绩效目标</w:t>
      </w:r>
      <w:r>
        <w:rPr>
          <w:rFonts w:hint="default" w:ascii="Times New Roman" w:hAnsi="Times New Roman" w:eastAsia="仿宋_GB2312" w:cs="Times New Roman"/>
          <w:b w:val="0"/>
          <w:bCs w:val="0"/>
          <w:snapToGrid w:val="0"/>
          <w:color w:val="auto"/>
          <w:sz w:val="32"/>
          <w:szCs w:val="32"/>
          <w:highlight w:val="none"/>
          <w:lang w:val="en-US" w:eastAsia="zh-CN"/>
        </w:rPr>
        <w:t>任务和绩效指标完成较好，为需要急救但身份不明或者无负担能力的患者提供应急医疗救助</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b w:val="0"/>
          <w:bCs w:val="0"/>
          <w:snapToGrid w:val="0"/>
          <w:color w:val="auto"/>
          <w:sz w:val="32"/>
          <w:szCs w:val="32"/>
          <w:highlight w:val="none"/>
          <w:lang w:val="en-US" w:eastAsia="zh-CN"/>
        </w:rPr>
        <w:t>实实在在地解决了患者的实际困难，使</w:t>
      </w:r>
      <w:r>
        <w:rPr>
          <w:rFonts w:hint="default" w:ascii="Times New Roman" w:hAnsi="Times New Roman" w:eastAsia="仿宋_GB2312" w:cs="Times New Roman"/>
          <w:snapToGrid w:val="0"/>
          <w:color w:val="auto"/>
          <w:sz w:val="32"/>
          <w:szCs w:val="32"/>
          <w:highlight w:val="none"/>
          <w:lang w:val="en-US" w:eastAsia="zh-CN"/>
        </w:rPr>
        <w:t>三无人员和无力支付的</w:t>
      </w:r>
      <w:r>
        <w:rPr>
          <w:rFonts w:hint="default" w:ascii="Times New Roman" w:hAnsi="Times New Roman" w:eastAsia="仿宋_GB2312" w:cs="Times New Roman"/>
          <w:b w:val="0"/>
          <w:bCs w:val="0"/>
          <w:snapToGrid w:val="0"/>
          <w:color w:val="auto"/>
          <w:sz w:val="32"/>
          <w:szCs w:val="32"/>
          <w:highlight w:val="none"/>
          <w:lang w:val="en-US" w:eastAsia="zh-CN"/>
        </w:rPr>
        <w:t>困难患者在突发疾病时能够得到有效救治和保</w:t>
      </w:r>
      <w:r>
        <w:rPr>
          <w:rFonts w:hint="default" w:ascii="Times New Roman" w:hAnsi="Times New Roman" w:eastAsia="仿宋_GB2312" w:cs="Times New Roman"/>
          <w:snapToGrid w:val="0"/>
          <w:color w:val="auto"/>
          <w:sz w:val="32"/>
          <w:szCs w:val="32"/>
          <w:highlight w:val="none"/>
          <w:lang w:val="en-US" w:eastAsia="zh-CN"/>
        </w:rPr>
        <w:t>障</w:t>
      </w:r>
      <w:r>
        <w:rPr>
          <w:rFonts w:hint="default" w:ascii="Times New Roman" w:hAnsi="Times New Roman" w:eastAsia="仿宋_GB2312" w:cs="Times New Roman"/>
          <w:b w:val="0"/>
          <w:bCs w:val="0"/>
          <w:snapToGrid w:val="0"/>
          <w:color w:val="auto"/>
          <w:sz w:val="32"/>
          <w:szCs w:val="32"/>
          <w:highlight w:val="none"/>
          <w:lang w:val="en-US" w:eastAsia="zh-CN"/>
        </w:rPr>
        <w:t>，也使医疗机构在救死扶伤的同时减轻了欠费压力，缓和了医患关系，切实维护了社会的和谐与稳定。具体工作开展情况如下：</w:t>
      </w:r>
    </w:p>
    <w:p>
      <w:pPr>
        <w:keepNext w:val="0"/>
        <w:keepLines w:val="0"/>
        <w:pageBreakBefore w:val="0"/>
        <w:numPr>
          <w:ilvl w:val="0"/>
          <w:numId w:val="0"/>
        </w:numPr>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一是进一步完善疾病应急救助保障措施。</w:t>
      </w:r>
      <w:r>
        <w:rPr>
          <w:rFonts w:hint="default" w:ascii="Times New Roman" w:hAnsi="Times New Roman" w:eastAsia="仿宋_GB2312" w:cs="Times New Roman"/>
          <w:b w:val="0"/>
          <w:bCs w:val="0"/>
          <w:snapToGrid w:val="0"/>
          <w:color w:val="auto"/>
          <w:sz w:val="32"/>
          <w:szCs w:val="32"/>
          <w:highlight w:val="none"/>
          <w:lang w:eastAsia="zh-CN"/>
        </w:rPr>
        <w:t>目前全省</w:t>
      </w:r>
      <w:r>
        <w:rPr>
          <w:rFonts w:hint="default" w:ascii="Times New Roman" w:hAnsi="Times New Roman" w:eastAsia="仿宋_GB2312" w:cs="Times New Roman"/>
          <w:b w:val="0"/>
          <w:bCs w:val="0"/>
          <w:snapToGrid w:val="0"/>
          <w:color w:val="auto"/>
          <w:sz w:val="32"/>
          <w:szCs w:val="32"/>
          <w:highlight w:val="none"/>
          <w:lang w:val="en-US" w:eastAsia="zh-CN"/>
        </w:rPr>
        <w:t>21个地级以上市，已经有10个地市以市政府名义出台了疾病应急救助制度文件，13个地市以卫生、财政等多部门联合发文形式制定了实施细则/实施方案等文件，15个地市设立了市级专项基金。其中，广州市2014年印发了《广州地区医疗机构病人欠费补助经费管理暂行规定（修订稿）》，制定了疾病救助制度，并设立了专项基金；深圳市2014年印发了《</w:t>
      </w:r>
      <w:r>
        <w:rPr>
          <w:rFonts w:hint="default" w:ascii="Times New Roman" w:hAnsi="Times New Roman" w:eastAsia="仿宋_GB2312" w:cs="Times New Roman"/>
          <w:snapToGrid w:val="0"/>
          <w:color w:val="auto"/>
          <w:sz w:val="32"/>
          <w:szCs w:val="32"/>
          <w:highlight w:val="none"/>
        </w:rPr>
        <w:t>关于印发〈深圳市疾病应急救助基金管理办法〉的通知》</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深财社〔201</w:t>
      </w:r>
      <w:r>
        <w:rPr>
          <w:rFonts w:hint="default" w:ascii="Times New Roman" w:hAnsi="Times New Roman" w:eastAsia="仿宋_GB2312" w:cs="Times New Roman"/>
          <w:snapToGrid w:val="0"/>
          <w:color w:val="auto"/>
          <w:sz w:val="32"/>
          <w:szCs w:val="32"/>
          <w:highlight w:val="none"/>
          <w:lang w:val="en-US" w:eastAsia="zh-CN"/>
        </w:rPr>
        <w:t>4</w:t>
      </w:r>
      <w:r>
        <w:rPr>
          <w:rFonts w:hint="default" w:ascii="Times New Roman" w:hAnsi="Times New Roman" w:eastAsia="仿宋_GB2312" w:cs="Times New Roman"/>
          <w:snapToGrid w:val="0"/>
          <w:color w:val="auto"/>
          <w:sz w:val="32"/>
          <w:szCs w:val="32"/>
          <w:highlight w:val="none"/>
        </w:rPr>
        <w:t>〕96号</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bCs w:val="0"/>
          <w:snapToGrid w:val="0"/>
          <w:color w:val="auto"/>
          <w:spacing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佛山市人民政府于2014年12月常务会议通过《关于设立佛山市疾病应急救助基金的决定》，2015年起佛山市财政每年安排市级疾病应急救助基金600万元，各区根据实际确定金额；东莞市于2014年9月25日印发了《东莞市疾病应急救助实施方案》，市财政设立了388万元专项资金。</w:t>
      </w:r>
    </w:p>
    <w:p>
      <w:pPr>
        <w:keepNext w:val="0"/>
        <w:keepLines w:val="0"/>
        <w:pageBreakBefore w:val="0"/>
        <w:numPr>
          <w:ilvl w:val="0"/>
          <w:numId w:val="0"/>
        </w:numPr>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cs="Times New Roman"/>
          <w:b/>
          <w:bCs/>
          <w:snapToGrid w:val="0"/>
          <w:color w:val="auto"/>
          <w:sz w:val="32"/>
          <w:szCs w:val="32"/>
          <w:highlight w:val="none"/>
          <w:lang w:val="en-US" w:eastAsia="zh-CN"/>
        </w:rPr>
        <w:t>二是</w:t>
      </w:r>
      <w:r>
        <w:rPr>
          <w:rFonts w:hint="default" w:ascii="Times New Roman" w:hAnsi="Times New Roman" w:eastAsia="仿宋_GB2312" w:cs="Times New Roman"/>
          <w:b/>
          <w:bCs/>
          <w:snapToGrid w:val="0"/>
          <w:color w:val="auto"/>
          <w:sz w:val="32"/>
          <w:szCs w:val="32"/>
          <w:highlight w:val="none"/>
          <w:lang w:val="en-US" w:eastAsia="zh-CN"/>
        </w:rPr>
        <w:t>明确资金申请核报程序</w:t>
      </w:r>
      <w:r>
        <w:rPr>
          <w:rFonts w:hint="default" w:ascii="Times New Roman" w:hAnsi="Times New Roman" w:cs="Times New Roman"/>
          <w:b/>
          <w:bCs/>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2015年</w:t>
      </w:r>
      <w:r>
        <w:rPr>
          <w:rFonts w:hint="default" w:ascii="Times New Roman" w:hAnsi="Times New Roman" w:cs="Times New Roman"/>
          <w:b w:val="0"/>
          <w:bCs w:val="0"/>
          <w:snapToGrid w:val="0"/>
          <w:color w:val="auto"/>
          <w:sz w:val="32"/>
          <w:szCs w:val="32"/>
          <w:highlight w:val="none"/>
          <w:lang w:val="en-US" w:eastAsia="zh-CN"/>
        </w:rPr>
        <w:t>省卫生健康</w:t>
      </w:r>
      <w:r>
        <w:rPr>
          <w:rFonts w:hint="default" w:ascii="Times New Roman" w:hAnsi="Times New Roman" w:eastAsia="仿宋_GB2312" w:cs="Times New Roman"/>
          <w:b w:val="0"/>
          <w:bCs w:val="0"/>
          <w:snapToGrid w:val="0"/>
          <w:color w:val="auto"/>
          <w:sz w:val="32"/>
          <w:szCs w:val="32"/>
          <w:highlight w:val="none"/>
          <w:lang w:val="en-US" w:eastAsia="zh-CN"/>
        </w:rPr>
        <w:t>委联合省财政厅、人社厅、民政厅、公安厅等部门制定印发了《广东省疾病应急救助制度实施细则》（粤卫〔2015〕72号）明确了疾病应急救护工作的组织机构、救助对象身份确认及基金核报程序；</w:t>
      </w:r>
      <w:r>
        <w:rPr>
          <w:rFonts w:hint="default" w:ascii="Times New Roman" w:hAnsi="Times New Roman" w:cs="Times New Roman"/>
          <w:b w:val="0"/>
          <w:bCs w:val="0"/>
          <w:snapToGrid w:val="0"/>
          <w:color w:val="auto"/>
          <w:sz w:val="32"/>
          <w:szCs w:val="32"/>
          <w:highlight w:val="none"/>
          <w:lang w:val="en-US" w:eastAsia="zh-CN"/>
        </w:rPr>
        <w:t>并</w:t>
      </w:r>
      <w:r>
        <w:rPr>
          <w:rFonts w:hint="default" w:ascii="Times New Roman" w:hAnsi="Times New Roman" w:eastAsia="仿宋_GB2312" w:cs="Times New Roman"/>
          <w:b w:val="0"/>
          <w:bCs w:val="0"/>
          <w:snapToGrid w:val="0"/>
          <w:color w:val="auto"/>
          <w:sz w:val="32"/>
          <w:szCs w:val="32"/>
          <w:highlight w:val="none"/>
          <w:lang w:val="en-US" w:eastAsia="zh-CN"/>
        </w:rPr>
        <w:t>结合国家工作要求，提出我省疾病应急救助基金实施每年两次的核销制度；并对基金申请程序进行了规定</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医疗机构每半年集中汇总填报已审核确认的应急救助患者信息，向当地卫生健康部门申请疾病应急救助基金补助；市级卫生健康部门牵头会同相关部门核准后讲医疗费用拨付各相关医疗机构</w:t>
      </w:r>
      <w:r>
        <w:rPr>
          <w:rFonts w:hint="default" w:ascii="Times New Roman" w:hAnsi="Times New Roman" w:cs="Times New Roman"/>
          <w:b w:val="0"/>
          <w:bCs w:val="0"/>
          <w:snapToGrid w:val="0"/>
          <w:color w:val="auto"/>
          <w:sz w:val="32"/>
          <w:szCs w:val="32"/>
          <w:highlight w:val="none"/>
          <w:lang w:val="en-US" w:eastAsia="zh-CN"/>
        </w:rPr>
        <w:t>。此外，</w:t>
      </w:r>
      <w:r>
        <w:rPr>
          <w:rFonts w:hint="default" w:ascii="Times New Roman" w:hAnsi="Times New Roman" w:eastAsia="仿宋_GB2312" w:cs="Times New Roman"/>
          <w:b w:val="0"/>
          <w:bCs w:val="0"/>
          <w:snapToGrid w:val="0"/>
          <w:color w:val="auto"/>
          <w:sz w:val="32"/>
          <w:szCs w:val="32"/>
          <w:highlight w:val="none"/>
          <w:lang w:val="en-US" w:eastAsia="zh-CN"/>
        </w:rPr>
        <w:t>省财政厅、省卫生健康委联合下发了《省级疾病应急救助专项资金管理办法》（粤财社〔2014〕356号），明确了财政部门、卫生健康部门和医疗机构在资金募集、管理、审核、使用等方面的职责，明确了专项资金审批、拨付及监管制度。</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cs="Times New Roman"/>
          <w:b/>
          <w:bCs/>
          <w:snapToGrid w:val="0"/>
          <w:color w:val="auto"/>
          <w:sz w:val="32"/>
          <w:szCs w:val="32"/>
          <w:highlight w:val="none"/>
          <w:lang w:val="en-US" w:eastAsia="zh-CN"/>
        </w:rPr>
        <w:t>三</w:t>
      </w:r>
      <w:r>
        <w:rPr>
          <w:rFonts w:hint="default" w:ascii="Times New Roman" w:hAnsi="Times New Roman" w:eastAsia="仿宋_GB2312" w:cs="Times New Roman"/>
          <w:b/>
          <w:bCs/>
          <w:snapToGrid w:val="0"/>
          <w:color w:val="auto"/>
          <w:sz w:val="32"/>
          <w:szCs w:val="32"/>
          <w:highlight w:val="none"/>
          <w:lang w:val="en-US" w:eastAsia="zh-CN"/>
        </w:rPr>
        <w:t>是</w:t>
      </w:r>
      <w:r>
        <w:rPr>
          <w:rFonts w:hint="default" w:ascii="Times New Roman" w:hAnsi="Times New Roman" w:eastAsia="仿宋_GB2312" w:cs="Times New Roman"/>
          <w:b/>
          <w:bCs/>
          <w:snapToGrid w:val="0"/>
          <w:color w:val="auto"/>
          <w:sz w:val="32"/>
          <w:szCs w:val="32"/>
          <w:highlight w:val="none"/>
          <w:lang w:eastAsia="zh-CN"/>
        </w:rPr>
        <w:t>扎实细致开展救助资金申请和核报核销工作。</w:t>
      </w:r>
      <w:r>
        <w:rPr>
          <w:rFonts w:hint="default" w:ascii="Times New Roman" w:hAnsi="Times New Roman" w:eastAsia="仿宋_GB2312" w:cs="Times New Roman"/>
          <w:b w:val="0"/>
          <w:bCs w:val="0"/>
          <w:snapToGrid w:val="0"/>
          <w:color w:val="auto"/>
          <w:sz w:val="32"/>
          <w:szCs w:val="32"/>
          <w:highlight w:val="none"/>
          <w:lang w:eastAsia="zh-CN"/>
        </w:rPr>
        <w:t>结合国家要求，我省及时向各地市转发《</w:t>
      </w:r>
      <w:r>
        <w:rPr>
          <w:rFonts w:hint="default" w:ascii="Times New Roman" w:hAnsi="Times New Roman" w:eastAsia="仿宋_GB2312" w:cs="Times New Roman"/>
          <w:snapToGrid w:val="0"/>
          <w:color w:val="auto"/>
          <w:sz w:val="32"/>
          <w:szCs w:val="32"/>
          <w:highlight w:val="none"/>
          <w:lang w:val="en-US" w:eastAsia="zh-CN"/>
        </w:rPr>
        <w:t>关于提前下达2022年中央财政医疗救助补助资金预算的通知</w:t>
      </w:r>
      <w:r>
        <w:rPr>
          <w:rFonts w:hint="default" w:ascii="Times New Roman" w:hAnsi="Times New Roman" w:eastAsia="仿宋_GB2312" w:cs="Times New Roman"/>
          <w:b w:val="0"/>
          <w:bCs w:val="0"/>
          <w:snapToGrid w:val="0"/>
          <w:color w:val="auto"/>
          <w:sz w:val="32"/>
          <w:szCs w:val="32"/>
          <w:highlight w:val="none"/>
          <w:lang w:eastAsia="zh-CN"/>
        </w:rPr>
        <w:t>》及《</w:t>
      </w:r>
      <w:r>
        <w:rPr>
          <w:rFonts w:hint="default" w:ascii="Times New Roman" w:hAnsi="Times New Roman" w:eastAsia="仿宋_GB2312" w:cs="Times New Roman"/>
          <w:snapToGrid w:val="0"/>
          <w:color w:val="auto"/>
          <w:sz w:val="32"/>
          <w:szCs w:val="32"/>
          <w:highlight w:val="none"/>
          <w:lang w:val="en-US" w:eastAsia="zh-CN"/>
        </w:rPr>
        <w:t>关于下达2022中央财政医疗救助补助资金预算的通知</w:t>
      </w:r>
      <w:r>
        <w:rPr>
          <w:rFonts w:hint="default" w:ascii="Times New Roman" w:hAnsi="Times New Roman" w:eastAsia="仿宋_GB2312" w:cs="Times New Roman"/>
          <w:b w:val="0"/>
          <w:bCs w:val="0"/>
          <w:snapToGrid w:val="0"/>
          <w:color w:val="auto"/>
          <w:sz w:val="32"/>
          <w:szCs w:val="32"/>
          <w:highlight w:val="none"/>
          <w:lang w:eastAsia="zh-CN"/>
        </w:rPr>
        <w:t>》。根据《</w:t>
      </w:r>
      <w:r>
        <w:rPr>
          <w:rFonts w:hint="default" w:ascii="Times New Roman" w:hAnsi="Times New Roman" w:eastAsia="仿宋_GB2312" w:cs="Times New Roman"/>
          <w:snapToGrid w:val="0"/>
          <w:color w:val="auto"/>
          <w:sz w:val="32"/>
          <w:szCs w:val="32"/>
          <w:highlight w:val="none"/>
        </w:rPr>
        <w:t>广东省疾病应急救助制度实施细则》</w:t>
      </w:r>
      <w:r>
        <w:rPr>
          <w:rFonts w:hint="default" w:ascii="Times New Roman" w:hAnsi="Times New Roman" w:eastAsia="仿宋_GB2312" w:cs="Times New Roman"/>
          <w:snapToGrid w:val="0"/>
          <w:color w:val="auto"/>
          <w:sz w:val="32"/>
          <w:szCs w:val="32"/>
          <w:highlight w:val="none"/>
          <w:lang w:eastAsia="zh-CN"/>
        </w:rPr>
        <w:t>（粤卫〔</w:t>
      </w:r>
      <w:r>
        <w:rPr>
          <w:rFonts w:hint="default" w:ascii="Times New Roman" w:hAnsi="Times New Roman" w:eastAsia="仿宋_GB2312" w:cs="Times New Roman"/>
          <w:snapToGrid w:val="0"/>
          <w:color w:val="auto"/>
          <w:sz w:val="32"/>
          <w:szCs w:val="32"/>
          <w:highlight w:val="none"/>
          <w:lang w:val="en-US" w:eastAsia="zh-CN"/>
        </w:rPr>
        <w:t>2015</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72号</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明确了救助对象身份确认及基金核报程序：</w:t>
      </w:r>
      <w:r>
        <w:rPr>
          <w:rFonts w:hint="default" w:ascii="Times New Roman" w:hAnsi="Times New Roman" w:eastAsia="仿宋_GB2312" w:cs="Times New Roman"/>
          <w:snapToGrid w:val="0"/>
          <w:color w:val="auto"/>
          <w:sz w:val="32"/>
          <w:szCs w:val="32"/>
          <w:highlight w:val="none"/>
          <w:lang w:val="en-US" w:eastAsia="zh-CN"/>
        </w:rPr>
        <w:t>对需急救但身份不明确的患者，由收治医疗机构的辖区派出所</w:t>
      </w:r>
      <w:r>
        <w:rPr>
          <w:rFonts w:hint="default" w:ascii="Times New Roman" w:hAnsi="Times New Roman" w:eastAsia="仿宋_GB2312" w:cs="Times New Roman"/>
          <w:snapToGrid w:val="0"/>
          <w:color w:val="auto"/>
          <w:sz w:val="32"/>
          <w:szCs w:val="32"/>
          <w:highlight w:val="none"/>
          <w:lang w:val="en-US"/>
        </w:rPr>
        <w:t>及时出警主动</w:t>
      </w:r>
      <w:r>
        <w:rPr>
          <w:rFonts w:hint="default" w:ascii="Times New Roman" w:hAnsi="Times New Roman" w:eastAsia="仿宋_GB2312" w:cs="Times New Roman"/>
          <w:snapToGrid w:val="0"/>
          <w:color w:val="auto"/>
          <w:sz w:val="32"/>
          <w:szCs w:val="32"/>
          <w:highlight w:val="none"/>
          <w:lang w:val="en-US" w:eastAsia="zh-CN"/>
        </w:rPr>
        <w:t>核查</w:t>
      </w:r>
      <w:r>
        <w:rPr>
          <w:rFonts w:hint="default" w:ascii="Times New Roman" w:hAnsi="Times New Roman" w:eastAsia="仿宋_GB2312" w:cs="Times New Roman"/>
          <w:snapToGrid w:val="0"/>
          <w:color w:val="auto"/>
          <w:sz w:val="32"/>
          <w:szCs w:val="32"/>
          <w:highlight w:val="none"/>
          <w:lang w:val="en-US"/>
        </w:rPr>
        <w:t>患者身份，并于72小时内出具患者身份</w:t>
      </w:r>
      <w:r>
        <w:rPr>
          <w:rFonts w:hint="default" w:ascii="Times New Roman" w:hAnsi="Times New Roman" w:eastAsia="仿宋_GB2312" w:cs="Times New Roman"/>
          <w:snapToGrid w:val="0"/>
          <w:color w:val="auto"/>
          <w:sz w:val="32"/>
          <w:szCs w:val="32"/>
          <w:highlight w:val="none"/>
          <w:lang w:val="en-US" w:eastAsia="zh-CN"/>
        </w:rPr>
        <w:t>核查结果文件，无法查明身份的患者，可申请疾病应急救助基金；对身份明确但无力缴费的经济困难患者，患者须向收治医院提供身份证明文件、社会保障卡等参保证明资料及低收入家庭证明文件，申请疾病应急救助基金。</w:t>
      </w:r>
      <w:r>
        <w:rPr>
          <w:rFonts w:hint="default" w:ascii="Times New Roman" w:hAnsi="Times New Roman" w:eastAsia="仿宋_GB2312" w:cs="Times New Roman"/>
          <w:b w:val="0"/>
          <w:bCs w:val="0"/>
          <w:snapToGrid w:val="0"/>
          <w:color w:val="auto"/>
          <w:sz w:val="32"/>
          <w:szCs w:val="32"/>
          <w:highlight w:val="none"/>
          <w:lang w:val="en-US" w:eastAsia="zh-CN"/>
        </w:rPr>
        <w:t>2022年6月和11月开展基金申请支付工作，共计申请补助人数6393人次，申请金额1.54亿</w:t>
      </w:r>
      <w:r>
        <w:rPr>
          <w:rFonts w:hint="default" w:ascii="Times New Roman" w:hAnsi="Times New Roman" w:eastAsia="仿宋_GB2312" w:cs="Times New Roman"/>
          <w:snapToGrid w:val="0"/>
          <w:color w:val="auto"/>
          <w:sz w:val="32"/>
          <w:szCs w:val="32"/>
          <w:highlight w:val="none"/>
          <w:lang w:val="en-US" w:eastAsia="zh-CN"/>
        </w:rPr>
        <w:t>元</w:t>
      </w:r>
      <w:r>
        <w:rPr>
          <w:rFonts w:hint="default" w:ascii="Times New Roman" w:hAnsi="Times New Roman" w:eastAsia="仿宋_GB2312" w:cs="Times New Roman"/>
          <w:b w:val="0"/>
          <w:bCs w:val="0"/>
          <w:snapToGrid w:val="0"/>
          <w:color w:val="auto"/>
          <w:sz w:val="32"/>
          <w:szCs w:val="32"/>
          <w:highlight w:val="none"/>
          <w:lang w:val="en-US" w:eastAsia="zh-CN"/>
        </w:rPr>
        <w:t>，已审核补助5424人次。</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default" w:ascii="楷体_GB2312" w:hAnsi="楷体_GB2312" w:eastAsia="楷体_GB2312" w:cs="楷体_GB2312"/>
          <w:b w:val="0"/>
          <w:bCs w:val="0"/>
          <w:snapToGrid w:val="0"/>
          <w:color w:val="auto"/>
          <w:sz w:val="32"/>
          <w:szCs w:val="32"/>
          <w:highlight w:val="none"/>
        </w:rPr>
        <w:t>（</w:t>
      </w:r>
      <w:r>
        <w:rPr>
          <w:rFonts w:hint="default" w:ascii="楷体_GB2312" w:hAnsi="楷体_GB2312" w:eastAsia="楷体_GB2312" w:cs="楷体_GB2312"/>
          <w:b w:val="0"/>
          <w:bCs w:val="0"/>
          <w:snapToGrid w:val="0"/>
          <w:color w:val="auto"/>
          <w:sz w:val="32"/>
          <w:szCs w:val="32"/>
          <w:highlight w:val="none"/>
          <w:lang w:val="en-US" w:eastAsia="zh-CN"/>
        </w:rPr>
        <w:t>四</w:t>
      </w:r>
      <w:r>
        <w:rPr>
          <w:rFonts w:hint="default" w:ascii="楷体_GB2312" w:hAnsi="楷体_GB2312" w:eastAsia="楷体_GB2312" w:cs="楷体_GB2312"/>
          <w:b w:val="0"/>
          <w:bCs w:val="0"/>
          <w:snapToGrid w:val="0"/>
          <w:color w:val="auto"/>
          <w:sz w:val="32"/>
          <w:szCs w:val="32"/>
          <w:highlight w:val="none"/>
        </w:rPr>
        <w:t>）绩效指标完成情况分析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snapToGrid w:val="0"/>
          <w:color w:val="auto"/>
          <w:kern w:val="2"/>
          <w:sz w:val="32"/>
          <w:szCs w:val="32"/>
          <w:highlight w:val="none"/>
          <w:lang w:eastAsia="zh-CN"/>
        </w:rPr>
      </w:pPr>
      <w:r>
        <w:rPr>
          <w:rFonts w:hint="default" w:ascii="Times New Roman" w:hAnsi="Times New Roman" w:eastAsia="仿宋_GB2312" w:cs="Times New Roman"/>
          <w:b/>
          <w:bCs/>
          <w:snapToGrid w:val="0"/>
          <w:color w:val="auto"/>
          <w:kern w:val="2"/>
          <w:sz w:val="32"/>
          <w:szCs w:val="32"/>
          <w:highlight w:val="none"/>
        </w:rPr>
        <w:t>1</w:t>
      </w:r>
      <w:r>
        <w:rPr>
          <w:rFonts w:hint="eastAsia" w:ascii="仿宋_GB2312" w:hAnsi="仿宋_GB2312" w:eastAsia="仿宋_GB2312" w:cs="仿宋_GB2312"/>
          <w:b/>
          <w:bCs/>
          <w:snapToGrid w:val="0"/>
          <w:color w:val="auto"/>
          <w:kern w:val="2"/>
          <w:sz w:val="32"/>
          <w:szCs w:val="32"/>
          <w:highlight w:val="none"/>
          <w:lang w:val="en-US" w:eastAsia="zh-CN"/>
        </w:rPr>
        <w:t>.</w:t>
      </w:r>
      <w:r>
        <w:rPr>
          <w:rFonts w:hint="eastAsia" w:ascii="仿宋_GB2312" w:hAnsi="仿宋_GB2312" w:eastAsia="仿宋_GB2312" w:cs="仿宋_GB2312"/>
          <w:b/>
          <w:bCs/>
          <w:snapToGrid w:val="0"/>
          <w:color w:val="auto"/>
          <w:kern w:val="2"/>
          <w:sz w:val="32"/>
          <w:szCs w:val="32"/>
          <w:highlight w:val="none"/>
          <w:lang w:eastAsia="zh-CN"/>
        </w:rPr>
        <w:t>产</w:t>
      </w:r>
      <w:r>
        <w:rPr>
          <w:rFonts w:hint="default" w:ascii="Times New Roman" w:hAnsi="Times New Roman" w:eastAsia="仿宋_GB2312" w:cs="Times New Roman"/>
          <w:b/>
          <w:bCs/>
          <w:snapToGrid w:val="0"/>
          <w:color w:val="auto"/>
          <w:kern w:val="2"/>
          <w:sz w:val="32"/>
          <w:szCs w:val="32"/>
          <w:highlight w:val="none"/>
          <w:lang w:eastAsia="zh-CN"/>
        </w:rPr>
        <w:t>出指标</w:t>
      </w:r>
      <w:r>
        <w:rPr>
          <w:rFonts w:hint="eastAsia" w:ascii="Times New Roman" w:hAnsi="Times New Roman" w:cs="Times New Roman"/>
          <w:b/>
          <w:bCs/>
          <w:snapToGrid w:val="0"/>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指标1</w:t>
      </w:r>
      <w:r>
        <w:rPr>
          <w:rFonts w:hint="default" w:ascii="Times New Roman" w:hAnsi="Times New Roman" w:eastAsia="仿宋_GB2312" w:cs="Times New Roman"/>
          <w:snapToGrid w:val="0"/>
          <w:color w:val="auto"/>
          <w:kern w:val="0"/>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疾病应急救助</w:t>
      </w:r>
      <w:r>
        <w:rPr>
          <w:rFonts w:hint="default" w:ascii="Times New Roman" w:hAnsi="Times New Roman" w:eastAsia="仿宋_GB2312" w:cs="Times New Roman"/>
          <w:snapToGrid w:val="0"/>
          <w:color w:val="auto"/>
          <w:kern w:val="0"/>
          <w:sz w:val="32"/>
          <w:szCs w:val="32"/>
          <w:highlight w:val="none"/>
          <w:lang w:val="en-US" w:eastAsia="zh-CN"/>
        </w:rPr>
        <w:t>制度覆盖率。</w:t>
      </w:r>
      <w:r>
        <w:rPr>
          <w:rFonts w:hint="default" w:ascii="Times New Roman" w:hAnsi="Times New Roman" w:eastAsia="仿宋_GB2312" w:cs="Times New Roman"/>
          <w:b w:val="0"/>
          <w:bCs w:val="0"/>
          <w:snapToGrid w:val="0"/>
          <w:color w:val="auto"/>
          <w:sz w:val="32"/>
          <w:szCs w:val="32"/>
          <w:highlight w:val="none"/>
          <w:lang w:eastAsia="zh-CN"/>
        </w:rPr>
        <w:t>根据《</w:t>
      </w:r>
      <w:r>
        <w:rPr>
          <w:rFonts w:hint="default" w:ascii="Times New Roman" w:hAnsi="Times New Roman" w:eastAsia="仿宋_GB2312" w:cs="Times New Roman"/>
          <w:snapToGrid w:val="0"/>
          <w:color w:val="auto"/>
          <w:sz w:val="32"/>
          <w:szCs w:val="32"/>
          <w:highlight w:val="none"/>
        </w:rPr>
        <w:t>广东省疾病应急救助制度实施细则》</w:t>
      </w:r>
      <w:r>
        <w:rPr>
          <w:rFonts w:hint="default" w:ascii="Times New Roman" w:hAnsi="Times New Roman" w:eastAsia="仿宋_GB2312" w:cs="Times New Roman"/>
          <w:snapToGrid w:val="0"/>
          <w:color w:val="auto"/>
          <w:sz w:val="32"/>
          <w:szCs w:val="32"/>
          <w:highlight w:val="none"/>
          <w:lang w:eastAsia="zh-CN"/>
        </w:rPr>
        <w:t>（粤卫〔</w:t>
      </w:r>
      <w:r>
        <w:rPr>
          <w:rFonts w:hint="default" w:ascii="Times New Roman" w:hAnsi="Times New Roman" w:eastAsia="仿宋_GB2312" w:cs="Times New Roman"/>
          <w:snapToGrid w:val="0"/>
          <w:color w:val="auto"/>
          <w:sz w:val="32"/>
          <w:szCs w:val="32"/>
          <w:highlight w:val="none"/>
          <w:lang w:val="en-US" w:eastAsia="zh-CN"/>
        </w:rPr>
        <w:t>2015</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72号</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明确</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对需急救但身份不明确的患者，由收治医疗机构的辖区派出所</w:t>
      </w:r>
      <w:r>
        <w:rPr>
          <w:rFonts w:hint="default" w:ascii="Times New Roman" w:hAnsi="Times New Roman" w:eastAsia="仿宋_GB2312" w:cs="Times New Roman"/>
          <w:snapToGrid w:val="0"/>
          <w:color w:val="auto"/>
          <w:sz w:val="32"/>
          <w:szCs w:val="32"/>
          <w:highlight w:val="none"/>
          <w:lang w:val="en-US"/>
        </w:rPr>
        <w:t>及时出警主动</w:t>
      </w:r>
      <w:r>
        <w:rPr>
          <w:rFonts w:hint="default" w:ascii="Times New Roman" w:hAnsi="Times New Roman" w:eastAsia="仿宋_GB2312" w:cs="Times New Roman"/>
          <w:snapToGrid w:val="0"/>
          <w:color w:val="auto"/>
          <w:sz w:val="32"/>
          <w:szCs w:val="32"/>
          <w:highlight w:val="none"/>
          <w:lang w:val="en-US" w:eastAsia="zh-CN"/>
        </w:rPr>
        <w:t>核查</w:t>
      </w:r>
      <w:r>
        <w:rPr>
          <w:rFonts w:hint="default" w:ascii="Times New Roman" w:hAnsi="Times New Roman" w:eastAsia="仿宋_GB2312" w:cs="Times New Roman"/>
          <w:snapToGrid w:val="0"/>
          <w:color w:val="auto"/>
          <w:sz w:val="32"/>
          <w:szCs w:val="32"/>
          <w:highlight w:val="none"/>
          <w:lang w:val="en-US"/>
        </w:rPr>
        <w:t>患者身份，并于72小时内出具患者身份</w:t>
      </w:r>
      <w:r>
        <w:rPr>
          <w:rFonts w:hint="default" w:ascii="Times New Roman" w:hAnsi="Times New Roman" w:eastAsia="仿宋_GB2312" w:cs="Times New Roman"/>
          <w:snapToGrid w:val="0"/>
          <w:color w:val="auto"/>
          <w:sz w:val="32"/>
          <w:szCs w:val="32"/>
          <w:highlight w:val="none"/>
          <w:lang w:val="en-US" w:eastAsia="zh-CN"/>
        </w:rPr>
        <w:t>核查结果文件，无法查明身份的患者，可申请疾病应急救助基金；对身份明确但无力缴费的经济困难患者，患者须向收治医院提供身份证明文件、社会保障卡等参保证明资料及低收入家庭证明文件，申请疾病应急救助基金。因此，</w:t>
      </w:r>
      <w:r>
        <w:rPr>
          <w:rFonts w:hint="default" w:ascii="Times New Roman" w:hAnsi="Times New Roman" w:eastAsia="仿宋_GB2312" w:cs="Times New Roman"/>
          <w:snapToGrid w:val="0"/>
          <w:color w:val="auto"/>
          <w:sz w:val="32"/>
          <w:szCs w:val="32"/>
          <w:highlight w:val="none"/>
        </w:rPr>
        <w:t>疾病应急救助</w:t>
      </w:r>
      <w:r>
        <w:rPr>
          <w:rFonts w:hint="default" w:ascii="Times New Roman" w:hAnsi="Times New Roman" w:eastAsia="仿宋_GB2312" w:cs="Times New Roman"/>
          <w:snapToGrid w:val="0"/>
          <w:color w:val="auto"/>
          <w:kern w:val="0"/>
          <w:sz w:val="32"/>
          <w:szCs w:val="32"/>
          <w:highlight w:val="none"/>
          <w:lang w:val="en-US" w:eastAsia="zh-CN"/>
        </w:rPr>
        <w:t>制度覆盖所有</w:t>
      </w:r>
      <w:r>
        <w:rPr>
          <w:rFonts w:hint="default" w:ascii="Times New Roman" w:hAnsi="Times New Roman" w:eastAsia="仿宋_GB2312" w:cs="Times New Roman"/>
          <w:b w:val="0"/>
          <w:bCs w:val="0"/>
          <w:snapToGrid w:val="0"/>
          <w:color w:val="auto"/>
          <w:kern w:val="0"/>
          <w:sz w:val="32"/>
          <w:szCs w:val="32"/>
          <w:highlight w:val="none"/>
          <w:lang w:val="en-US" w:eastAsia="zh-CN" w:bidi="ar"/>
        </w:rPr>
        <w:t>身份不明或无力支付费用的急危重伤病患者</w:t>
      </w:r>
      <w:r>
        <w:rPr>
          <w:rFonts w:hint="default" w:ascii="Times New Roman" w:hAnsi="Times New Roman" w:eastAsia="仿宋_GB2312" w:cs="Times New Roman"/>
          <w:snapToGrid w:val="0"/>
          <w:color w:val="auto"/>
          <w:kern w:val="0"/>
          <w:sz w:val="32"/>
          <w:szCs w:val="32"/>
          <w:highlight w:val="none"/>
          <w:lang w:val="en-US" w:eastAsia="zh-CN"/>
        </w:rPr>
        <w:t>，覆盖率100%，实现预期目标（100%）。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指标2</w:t>
      </w:r>
      <w:r>
        <w:rPr>
          <w:rFonts w:hint="default" w:ascii="Times New Roman" w:hAnsi="Times New Roman" w:eastAsia="仿宋_GB2312" w:cs="Times New Roman"/>
          <w:snapToGrid w:val="0"/>
          <w:color w:val="auto"/>
          <w:kern w:val="0"/>
          <w:sz w:val="32"/>
          <w:szCs w:val="32"/>
          <w:highlight w:val="none"/>
          <w:lang w:val="en-US" w:eastAsia="zh-CN"/>
        </w:rPr>
        <w:t xml:space="preserve"> 公安机关出具身份核查结论的比例。全省</w:t>
      </w:r>
      <w:r>
        <w:rPr>
          <w:rFonts w:hint="default" w:ascii="Times New Roman" w:hAnsi="Times New Roman" w:eastAsia="仿宋_GB2312" w:cs="Times New Roman"/>
          <w:b w:val="0"/>
          <w:bCs w:val="0"/>
          <w:snapToGrid w:val="0"/>
          <w:color w:val="auto"/>
          <w:kern w:val="0"/>
          <w:sz w:val="32"/>
          <w:szCs w:val="32"/>
          <w:highlight w:val="none"/>
          <w:lang w:val="en-US" w:eastAsia="zh-CN" w:bidi="ar"/>
        </w:rPr>
        <w:t>身份不明或无力支付费用的急危重伤病患者</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val="en-US" w:eastAsia="zh-CN"/>
        </w:rPr>
        <w:t>，公安机关出具身份核查结论</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公安机关出具身份核查结论的比例</w:t>
      </w:r>
      <w:r>
        <w:rPr>
          <w:rFonts w:hint="default" w:ascii="Times New Roman" w:hAnsi="Times New Roman" w:cs="Times New Roman"/>
          <w:snapToGrid w:val="0"/>
          <w:color w:val="auto"/>
          <w:sz w:val="32"/>
          <w:szCs w:val="32"/>
          <w:highlight w:val="none"/>
          <w:u w:val="none" w:color="auto"/>
          <w:lang w:val="en-US" w:eastAsia="zh-CN"/>
        </w:rPr>
        <w:t>100</w:t>
      </w:r>
      <w:r>
        <w:rPr>
          <w:rFonts w:hint="default" w:ascii="Times New Roman" w:hAnsi="Times New Roman" w:eastAsia="仿宋_GB2312" w:cs="Times New Roman"/>
          <w:snapToGrid w:val="0"/>
          <w:color w:val="auto"/>
          <w:sz w:val="32"/>
          <w:szCs w:val="32"/>
          <w:highlight w:val="none"/>
          <w:u w:val="none" w:color="auto"/>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实现预期目标（100%）。</w:t>
      </w:r>
    </w:p>
    <w:p>
      <w:pPr>
        <w:pStyle w:val="10"/>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指标3 </w:t>
      </w:r>
      <w:r>
        <w:rPr>
          <w:rFonts w:hint="default" w:ascii="Times New Roman" w:hAnsi="Times New Roman" w:eastAsia="仿宋_GB2312" w:cs="Times New Roman"/>
          <w:b w:val="0"/>
          <w:bCs w:val="0"/>
          <w:snapToGrid w:val="0"/>
          <w:color w:val="auto"/>
          <w:kern w:val="0"/>
          <w:sz w:val="32"/>
          <w:szCs w:val="32"/>
          <w:highlight w:val="none"/>
          <w:lang w:val="en-US" w:eastAsia="zh-CN"/>
        </w:rPr>
        <w:t>民政部门协助核实情况的比例。</w:t>
      </w:r>
      <w:r>
        <w:rPr>
          <w:rFonts w:hint="default" w:ascii="Times New Roman" w:hAnsi="Times New Roman" w:eastAsia="仿宋_GB2312" w:cs="Times New Roman"/>
          <w:snapToGrid w:val="0"/>
          <w:color w:val="auto"/>
          <w:kern w:val="0"/>
          <w:sz w:val="32"/>
          <w:szCs w:val="32"/>
          <w:highlight w:val="none"/>
          <w:lang w:val="en-US" w:eastAsia="zh-CN"/>
        </w:rPr>
        <w:t>全省</w:t>
      </w:r>
      <w:r>
        <w:rPr>
          <w:rFonts w:hint="default" w:ascii="Times New Roman" w:hAnsi="Times New Roman" w:eastAsia="仿宋_GB2312" w:cs="Times New Roman"/>
          <w:b w:val="0"/>
          <w:bCs w:val="0"/>
          <w:snapToGrid w:val="0"/>
          <w:color w:val="auto"/>
          <w:kern w:val="0"/>
          <w:sz w:val="32"/>
          <w:szCs w:val="32"/>
          <w:highlight w:val="none"/>
          <w:lang w:val="en-US" w:eastAsia="zh-CN" w:bidi="ar"/>
        </w:rPr>
        <w:t>身份不明或无力支付费用的急危重伤病患者</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民政部门协助核实情况</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民政部门协助核实情况的比例</w:t>
      </w:r>
      <w:r>
        <w:rPr>
          <w:rFonts w:hint="default" w:ascii="Times New Roman" w:hAnsi="Times New Roman" w:eastAsia="仿宋_GB2312" w:cs="Times New Roman"/>
          <w:snapToGrid w:val="0"/>
          <w:color w:val="auto"/>
          <w:sz w:val="32"/>
          <w:szCs w:val="32"/>
          <w:highlight w:val="none"/>
          <w:u w:val="none" w:color="auto"/>
          <w:lang w:val="en-US" w:eastAsia="zh-CN"/>
        </w:rPr>
        <w:t>100%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实现预期目标（</w:t>
      </w:r>
      <w:r>
        <w:rPr>
          <w:rFonts w:hint="default" w:ascii="Times New Roman" w:hAnsi="Times New Roman" w:eastAsia="仿宋_GB2312" w:cs="Times New Roman"/>
          <w:snapToGrid w:val="0"/>
          <w:color w:val="auto"/>
          <w:kern w:val="0"/>
          <w:sz w:val="32"/>
          <w:szCs w:val="32"/>
          <w:highlight w:val="none"/>
          <w:lang w:val="en-US" w:eastAsia="zh-CN" w:bidi="ar-SA"/>
        </w:rPr>
        <w:t>≧100%</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指标4 </w:t>
      </w:r>
      <w:r>
        <w:rPr>
          <w:rFonts w:hint="default" w:ascii="Times New Roman" w:hAnsi="Times New Roman" w:eastAsia="仿宋_GB2312" w:cs="Times New Roman"/>
          <w:b w:val="0"/>
          <w:bCs w:val="0"/>
          <w:snapToGrid w:val="0"/>
          <w:color w:val="auto"/>
          <w:kern w:val="0"/>
          <w:sz w:val="32"/>
          <w:szCs w:val="32"/>
          <w:highlight w:val="none"/>
          <w:lang w:val="en-US" w:eastAsia="zh-CN"/>
        </w:rPr>
        <w:t>救治对象为符合制度要求的患者比率。</w:t>
      </w:r>
      <w:r>
        <w:rPr>
          <w:rFonts w:hint="default" w:ascii="Times New Roman" w:hAnsi="Times New Roman" w:eastAsia="仿宋_GB2312" w:cs="Times New Roman"/>
          <w:snapToGrid w:val="0"/>
          <w:color w:val="auto"/>
          <w:kern w:val="0"/>
          <w:sz w:val="32"/>
          <w:szCs w:val="32"/>
          <w:highlight w:val="none"/>
          <w:lang w:val="en-US" w:eastAsia="zh-CN"/>
        </w:rPr>
        <w:t>全省</w:t>
      </w:r>
      <w:r>
        <w:rPr>
          <w:rFonts w:hint="default" w:ascii="Times New Roman" w:hAnsi="Times New Roman" w:eastAsia="仿宋_GB2312" w:cs="Times New Roman"/>
          <w:b w:val="0"/>
          <w:bCs w:val="0"/>
          <w:snapToGrid w:val="0"/>
          <w:color w:val="auto"/>
          <w:kern w:val="0"/>
          <w:sz w:val="32"/>
          <w:szCs w:val="32"/>
          <w:highlight w:val="none"/>
          <w:lang w:val="en-US" w:eastAsia="zh-CN" w:bidi="ar"/>
        </w:rPr>
        <w:t>身份不明或无力支付费用的急危重伤病患者</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救治对象为符合制度要求的患者</w:t>
      </w:r>
      <w:r>
        <w:rPr>
          <w:rFonts w:hint="default" w:ascii="Times New Roman" w:hAnsi="Times New Roman" w:cs="Times New Roman"/>
          <w:snapToGrid w:val="0"/>
          <w:color w:val="auto"/>
          <w:sz w:val="32"/>
          <w:szCs w:val="32"/>
          <w:highlight w:val="none"/>
          <w:u w:val="none" w:color="auto"/>
          <w:lang w:val="en-US" w:eastAsia="zh-CN"/>
        </w:rPr>
        <w:t>5434</w:t>
      </w:r>
      <w:r>
        <w:rPr>
          <w:rFonts w:hint="default" w:ascii="Times New Roman" w:hAnsi="Times New Roman" w:eastAsia="仿宋_GB2312" w:cs="Times New Roman"/>
          <w:snapToGrid w:val="0"/>
          <w:color w:val="auto"/>
          <w:sz w:val="32"/>
          <w:szCs w:val="32"/>
          <w:highlight w:val="none"/>
          <w:u w:val="none" w:color="auto"/>
          <w:lang w:val="en-US" w:eastAsia="zh-CN"/>
        </w:rPr>
        <w:t>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救治对象为符合制度要求的患者比率</w:t>
      </w:r>
      <w:r>
        <w:rPr>
          <w:rFonts w:hint="default" w:ascii="Times New Roman" w:hAnsi="Times New Roman" w:eastAsia="仿宋_GB2312" w:cs="Times New Roman"/>
          <w:snapToGrid w:val="0"/>
          <w:color w:val="auto"/>
          <w:sz w:val="32"/>
          <w:szCs w:val="32"/>
          <w:highlight w:val="none"/>
          <w:u w:val="none" w:color="auto"/>
          <w:lang w:val="en-US" w:eastAsia="zh-CN"/>
        </w:rPr>
        <w:t>100%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实现预期目标（</w:t>
      </w:r>
      <w:r>
        <w:rPr>
          <w:rFonts w:hint="default" w:ascii="Times New Roman" w:hAnsi="Times New Roman" w:eastAsia="仿宋_GB2312" w:cs="Times New Roman"/>
          <w:snapToGrid w:val="0"/>
          <w:color w:val="auto"/>
          <w:kern w:val="0"/>
          <w:sz w:val="32"/>
          <w:szCs w:val="32"/>
          <w:highlight w:val="none"/>
          <w:lang w:val="en-US" w:eastAsia="zh-CN" w:bidi="ar-SA"/>
        </w:rPr>
        <w:t>100%</w:t>
      </w:r>
      <w:r>
        <w:rPr>
          <w:rFonts w:hint="default" w:ascii="Times New Roman" w:hAnsi="Times New Roman" w:eastAsia="仿宋_GB2312" w:cs="Times New Roman"/>
          <w:snapToGrid w:val="0"/>
          <w:color w:val="auto"/>
          <w:kern w:val="0"/>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b w:val="0"/>
          <w:bCs w:val="0"/>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指标5 </w:t>
      </w:r>
      <w:r>
        <w:rPr>
          <w:rFonts w:hint="default" w:ascii="Times New Roman" w:hAnsi="Times New Roman" w:eastAsia="仿宋_GB2312" w:cs="Times New Roman"/>
          <w:b w:val="0"/>
          <w:bCs w:val="0"/>
          <w:snapToGrid w:val="0"/>
          <w:color w:val="auto"/>
          <w:kern w:val="0"/>
          <w:sz w:val="32"/>
          <w:szCs w:val="32"/>
          <w:highlight w:val="none"/>
          <w:lang w:val="en-US" w:eastAsia="zh-CN"/>
        </w:rPr>
        <w:t>基金预拨金额占基金总额的比例。年度基金预拨金额</w:t>
      </w:r>
      <w:r>
        <w:rPr>
          <w:rFonts w:hint="default" w:ascii="Times New Roman" w:hAnsi="Times New Roman" w:eastAsia="仿宋_GB2312" w:cs="Times New Roman"/>
          <w:snapToGrid w:val="0"/>
          <w:color w:val="auto"/>
          <w:sz w:val="32"/>
          <w:szCs w:val="32"/>
          <w:highlight w:val="none"/>
          <w:u w:val="none" w:color="auto"/>
          <w:lang w:val="en-US" w:eastAsia="zh-CN"/>
        </w:rPr>
        <w:t>2497万元，疾病应急救助</w:t>
      </w:r>
      <w:r>
        <w:rPr>
          <w:rFonts w:hint="default" w:ascii="Times New Roman" w:hAnsi="Times New Roman" w:eastAsia="仿宋_GB2312" w:cs="Times New Roman"/>
          <w:b w:val="0"/>
          <w:bCs w:val="0"/>
          <w:snapToGrid w:val="0"/>
          <w:color w:val="auto"/>
          <w:kern w:val="0"/>
          <w:sz w:val="32"/>
          <w:szCs w:val="32"/>
          <w:highlight w:val="none"/>
          <w:lang w:val="en-US" w:eastAsia="zh-CN"/>
        </w:rPr>
        <w:t>基金总额</w:t>
      </w:r>
      <w:r>
        <w:rPr>
          <w:rFonts w:hint="default" w:ascii="Times New Roman" w:hAnsi="Times New Roman" w:eastAsia="仿宋_GB2312" w:cs="Times New Roman"/>
          <w:snapToGrid w:val="0"/>
          <w:color w:val="auto"/>
          <w:sz w:val="32"/>
          <w:szCs w:val="32"/>
          <w:highlight w:val="none"/>
          <w:u w:val="none" w:color="auto"/>
          <w:lang w:val="en-US" w:eastAsia="zh-CN"/>
        </w:rPr>
        <w:t>2.56亿元，</w:t>
      </w:r>
      <w:r>
        <w:rPr>
          <w:rFonts w:hint="default" w:ascii="Times New Roman" w:hAnsi="Times New Roman" w:eastAsia="仿宋_GB2312" w:cs="Times New Roman"/>
          <w:b w:val="0"/>
          <w:bCs w:val="0"/>
          <w:snapToGrid w:val="0"/>
          <w:color w:val="auto"/>
          <w:kern w:val="0"/>
          <w:sz w:val="32"/>
          <w:szCs w:val="32"/>
          <w:highlight w:val="none"/>
          <w:lang w:val="en-US" w:eastAsia="zh-CN"/>
        </w:rPr>
        <w:t>基金预拨金额占基金总额的比例</w:t>
      </w:r>
      <w:r>
        <w:rPr>
          <w:rFonts w:hint="default" w:ascii="Times New Roman" w:hAnsi="Times New Roman" w:eastAsia="仿宋_GB2312" w:cs="Times New Roman"/>
          <w:snapToGrid w:val="0"/>
          <w:color w:val="auto"/>
          <w:sz w:val="32"/>
          <w:szCs w:val="32"/>
          <w:highlight w:val="none"/>
          <w:u w:val="none" w:color="auto"/>
          <w:lang w:val="en-US" w:eastAsia="zh-CN"/>
        </w:rPr>
        <w:t>0.97%</w:t>
      </w:r>
      <w:r>
        <w:rPr>
          <w:rFonts w:hint="default" w:ascii="Times New Roman" w:hAnsi="Times New Roman" w:eastAsia="仿宋_GB2312" w:cs="Times New Roman"/>
          <w:b w:val="0"/>
          <w:bCs w:val="0"/>
          <w:snapToGrid w:val="0"/>
          <w:color w:val="auto"/>
          <w:kern w:val="0"/>
          <w:sz w:val="32"/>
          <w:szCs w:val="32"/>
          <w:highlight w:val="none"/>
          <w:lang w:val="en-US" w:eastAsia="zh-CN"/>
        </w:rPr>
        <w:t>，比2021年的</w:t>
      </w:r>
      <w:r>
        <w:rPr>
          <w:rFonts w:hint="default" w:ascii="Times New Roman" w:hAnsi="Times New Roman" w:eastAsia="仿宋_GB2312" w:cs="Times New Roman"/>
          <w:snapToGrid w:val="0"/>
          <w:color w:val="auto"/>
          <w:sz w:val="32"/>
          <w:szCs w:val="32"/>
          <w:highlight w:val="none"/>
          <w:u w:val="none" w:color="auto"/>
          <w:lang w:val="en-US" w:eastAsia="zh-CN"/>
        </w:rPr>
        <w:t>0.93%提高0.04个百分点，</w:t>
      </w:r>
      <w:r>
        <w:rPr>
          <w:rFonts w:hint="default" w:ascii="Times New Roman" w:hAnsi="Times New Roman" w:eastAsia="仿宋_GB2312" w:cs="Times New Roman"/>
          <w:b w:val="0"/>
          <w:bCs w:val="0"/>
          <w:snapToGrid w:val="0"/>
          <w:color w:val="auto"/>
          <w:kern w:val="0"/>
          <w:sz w:val="32"/>
          <w:szCs w:val="32"/>
          <w:highlight w:val="none"/>
          <w:lang w:val="en-US" w:eastAsia="zh-CN"/>
        </w:rPr>
        <w:t>实现预期效果（持续提高）</w:t>
      </w:r>
      <w:r>
        <w:rPr>
          <w:rFonts w:hint="default" w:ascii="Times New Roman" w:hAnsi="Times New Roman" w:eastAsia="仿宋_GB2312" w:cs="Times New Roman"/>
          <w:b w:val="0"/>
          <w:bCs w:val="0"/>
          <w:snapToGrid w:val="0"/>
          <w:color w:val="auto"/>
          <w:kern w:val="0"/>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指标6 </w:t>
      </w:r>
      <w:r>
        <w:rPr>
          <w:rFonts w:hint="default" w:ascii="Times New Roman" w:hAnsi="Times New Roman" w:eastAsia="仿宋_GB2312" w:cs="Times New Roman"/>
          <w:snapToGrid w:val="0"/>
          <w:color w:val="auto"/>
          <w:kern w:val="0"/>
          <w:sz w:val="32"/>
          <w:szCs w:val="32"/>
          <w:highlight w:val="none"/>
          <w:lang w:eastAsia="zh-CN"/>
        </w:rPr>
        <w:t>预算执行率。</w:t>
      </w:r>
      <w:r>
        <w:rPr>
          <w:rFonts w:hint="default" w:ascii="Times New Roman" w:hAnsi="Times New Roman" w:eastAsia="仿宋_GB2312" w:cs="Times New Roman"/>
          <w:b w:val="0"/>
          <w:bCs w:val="0"/>
          <w:snapToGrid w:val="0"/>
          <w:color w:val="auto"/>
          <w:kern w:val="0"/>
          <w:sz w:val="32"/>
          <w:szCs w:val="32"/>
          <w:highlight w:val="none"/>
          <w:lang w:val="en-US" w:eastAsia="zh-CN" w:bidi="ar"/>
        </w:rPr>
        <w:t>截至2022年12月31日，2022年中央财政医疗救助补助资金（疾病应急救助）</w:t>
      </w:r>
      <w:r>
        <w:rPr>
          <w:rFonts w:hint="default" w:ascii="Times New Roman" w:hAnsi="Times New Roman" w:eastAsia="仿宋_GB2312" w:cs="Times New Roman"/>
          <w:snapToGrid w:val="0"/>
          <w:color w:val="auto"/>
          <w:kern w:val="0"/>
          <w:sz w:val="32"/>
          <w:szCs w:val="32"/>
          <w:highlight w:val="none"/>
          <w:lang w:val="en-US" w:eastAsia="zh-CN"/>
        </w:rPr>
        <w:t>支出率达到92.18%，未实现预期目标（100%）</w:t>
      </w:r>
      <w:r>
        <w:rPr>
          <w:rFonts w:hint="default" w:ascii="Times New Roman" w:hAnsi="Times New Roman" w:eastAsia="仿宋_GB2312" w:cs="Times New Roman"/>
          <w:snapToGrid w:val="0"/>
          <w:color w:val="auto"/>
          <w:kern w:val="0"/>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left="0" w:right="0" w:firstLine="643" w:firstLineChars="200"/>
        <w:jc w:val="both"/>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指标7 </w:t>
      </w:r>
      <w:r>
        <w:rPr>
          <w:rFonts w:hint="default" w:ascii="Times New Roman" w:hAnsi="Times New Roman" w:eastAsia="仿宋_GB2312" w:cs="Times New Roman"/>
          <w:b w:val="0"/>
          <w:bCs w:val="0"/>
          <w:snapToGrid w:val="0"/>
          <w:color w:val="auto"/>
          <w:kern w:val="0"/>
          <w:sz w:val="32"/>
          <w:szCs w:val="32"/>
          <w:highlight w:val="none"/>
          <w:lang w:val="en-US" w:eastAsia="zh-CN"/>
        </w:rPr>
        <w:t>经办机构对医疗机构提交材料的审核时间。</w:t>
      </w:r>
      <w:r>
        <w:rPr>
          <w:rFonts w:hint="default" w:ascii="Times New Roman" w:hAnsi="Times New Roman" w:eastAsia="仿宋_GB2312" w:cs="Times New Roman"/>
          <w:b w:val="0"/>
          <w:bCs w:val="0"/>
          <w:i w:val="0"/>
          <w:iCs w:val="0"/>
          <w:caps w:val="0"/>
          <w:snapToGrid w:val="0"/>
          <w:color w:val="auto"/>
          <w:spacing w:val="0"/>
          <w:sz w:val="32"/>
          <w:szCs w:val="32"/>
          <w:highlight w:val="none"/>
          <w:u w:val="none"/>
          <w:shd w:val="clear" w:color="auto" w:fill="FFFFFF"/>
        </w:rPr>
        <w:t>各地级市</w:t>
      </w:r>
      <w:r>
        <w:rPr>
          <w:rFonts w:hint="default" w:ascii="Times New Roman" w:hAnsi="Times New Roman" w:eastAsia="仿宋_GB2312" w:cs="Times New Roman"/>
          <w:b w:val="0"/>
          <w:bCs w:val="0"/>
          <w:snapToGrid w:val="0"/>
          <w:color w:val="auto"/>
          <w:kern w:val="0"/>
          <w:sz w:val="32"/>
          <w:szCs w:val="32"/>
          <w:highlight w:val="none"/>
          <w:lang w:val="en-US" w:eastAsia="zh-CN"/>
        </w:rPr>
        <w:t>经办机构应当对医疗机构提交的支付申请和有关证明材料认真审核，在公安机关、基本医保管理部门、民政等有关部门的协助下核查欠费者的身份、有无负担能力等基本信息，以及是否存在责任人、工伤保险、基本医疗保险等各类保险、公共卫生经费、医疗救助基金、道路交通事故社会救助基金、流浪乞讨人员救助资金等正常支付渠道。救助对象发生的急救费用，先由上述渠道按规定支付。</w:t>
      </w:r>
      <w:r>
        <w:rPr>
          <w:rFonts w:hint="default" w:ascii="Times New Roman" w:hAnsi="Times New Roman" w:cs="Times New Roman"/>
          <w:b w:val="0"/>
          <w:bCs w:val="0"/>
          <w:snapToGrid w:val="0"/>
          <w:color w:val="auto"/>
          <w:kern w:val="0"/>
          <w:sz w:val="32"/>
          <w:szCs w:val="32"/>
          <w:highlight w:val="none"/>
          <w:lang w:val="en-US" w:eastAsia="zh-CN"/>
        </w:rPr>
        <w:t>我省持续缩短审核时间，</w:t>
      </w:r>
      <w:r>
        <w:rPr>
          <w:rFonts w:hint="default" w:ascii="Times New Roman" w:hAnsi="Times New Roman" w:cs="Times New Roman"/>
          <w:i w:val="0"/>
          <w:iCs w:val="0"/>
          <w:caps w:val="0"/>
          <w:snapToGrid w:val="0"/>
          <w:color w:val="auto"/>
          <w:spacing w:val="0"/>
          <w:sz w:val="32"/>
          <w:szCs w:val="32"/>
          <w:highlight w:val="none"/>
          <w:u w:val="none"/>
          <w:shd w:val="clear" w:color="auto" w:fill="FFFFFF"/>
          <w:lang w:val="en-US" w:eastAsia="zh-CN"/>
        </w:rPr>
        <w:t>如湛江市</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lang w:val="en-US" w:eastAsia="zh-CN"/>
        </w:rPr>
        <w:t>2020年审核时间为</w:t>
      </w:r>
      <w:r>
        <w:rPr>
          <w:rFonts w:hint="default" w:ascii="Times New Roman" w:hAnsi="Times New Roman" w:cs="Times New Roman"/>
          <w:snapToGrid w:val="0"/>
          <w:color w:val="auto"/>
          <w:sz w:val="32"/>
          <w:szCs w:val="32"/>
          <w:highlight w:val="none"/>
          <w:u w:val="none" w:color="auto"/>
          <w:lang w:val="en-US" w:eastAsia="zh-CN"/>
        </w:rPr>
        <w:t>15-20</w:t>
      </w:r>
      <w:r>
        <w:rPr>
          <w:rFonts w:hint="default" w:ascii="Times New Roman" w:hAnsi="Times New Roman" w:eastAsia="仿宋_GB2312" w:cs="Times New Roman"/>
          <w:snapToGrid w:val="0"/>
          <w:color w:val="auto"/>
          <w:sz w:val="32"/>
          <w:szCs w:val="32"/>
          <w:highlight w:val="none"/>
          <w:u w:val="none" w:color="auto"/>
          <w:lang w:val="en-US" w:eastAsia="zh-CN"/>
        </w:rPr>
        <w:t>天</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lang w:val="en-US" w:eastAsia="zh-CN"/>
        </w:rPr>
        <w:t>2021年审核时间为</w:t>
      </w:r>
      <w:r>
        <w:rPr>
          <w:rFonts w:hint="default" w:ascii="Times New Roman" w:hAnsi="Times New Roman" w:cs="Times New Roman"/>
          <w:snapToGrid w:val="0"/>
          <w:color w:val="auto"/>
          <w:sz w:val="32"/>
          <w:szCs w:val="32"/>
          <w:highlight w:val="none"/>
          <w:u w:val="none" w:color="auto"/>
          <w:lang w:val="en-US" w:eastAsia="zh-CN"/>
        </w:rPr>
        <w:t>15</w:t>
      </w:r>
      <w:r>
        <w:rPr>
          <w:rFonts w:hint="default" w:ascii="Times New Roman" w:hAnsi="Times New Roman" w:eastAsia="仿宋_GB2312" w:cs="Times New Roman"/>
          <w:snapToGrid w:val="0"/>
          <w:color w:val="auto"/>
          <w:sz w:val="32"/>
          <w:szCs w:val="32"/>
          <w:highlight w:val="none"/>
          <w:u w:val="none" w:color="auto"/>
          <w:lang w:val="en-US" w:eastAsia="zh-CN"/>
        </w:rPr>
        <w:t>天</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lang w:val="en-US" w:eastAsia="zh-CN"/>
        </w:rPr>
        <w:t>2022年审核时间为</w:t>
      </w:r>
      <w:r>
        <w:rPr>
          <w:rFonts w:hint="default" w:ascii="Times New Roman" w:hAnsi="Times New Roman" w:cs="Times New Roman"/>
          <w:snapToGrid w:val="0"/>
          <w:color w:val="auto"/>
          <w:sz w:val="32"/>
          <w:szCs w:val="32"/>
          <w:highlight w:val="none"/>
          <w:u w:val="none" w:color="auto"/>
          <w:lang w:val="en-US" w:eastAsia="zh-CN"/>
        </w:rPr>
        <w:t>10</w:t>
      </w:r>
      <w:r>
        <w:rPr>
          <w:rFonts w:hint="default" w:ascii="Times New Roman" w:hAnsi="Times New Roman" w:eastAsia="仿宋_GB2312" w:cs="Times New Roman"/>
          <w:snapToGrid w:val="0"/>
          <w:color w:val="auto"/>
          <w:sz w:val="32"/>
          <w:szCs w:val="32"/>
          <w:highlight w:val="none"/>
          <w:u w:val="none" w:color="auto"/>
          <w:lang w:val="en-US" w:eastAsia="zh-CN"/>
        </w:rPr>
        <w:t>天</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审核时间持续降低，</w:t>
      </w:r>
      <w:r>
        <w:rPr>
          <w:rFonts w:hint="default" w:ascii="Times New Roman" w:hAnsi="Times New Roman" w:eastAsia="仿宋_GB2312" w:cs="Times New Roman"/>
          <w:snapToGrid w:val="0"/>
          <w:color w:val="auto"/>
          <w:kern w:val="0"/>
          <w:sz w:val="32"/>
          <w:szCs w:val="32"/>
          <w:highlight w:val="none"/>
          <w:lang w:eastAsia="zh-CN"/>
        </w:rPr>
        <w:t>实际完成值</w:t>
      </w:r>
      <w:r>
        <w:rPr>
          <w:rFonts w:hint="default" w:ascii="Times New Roman" w:hAnsi="Times New Roman" w:eastAsia="仿宋_GB2312" w:cs="Times New Roman"/>
          <w:snapToGrid w:val="0"/>
          <w:color w:val="auto"/>
          <w:kern w:val="0"/>
          <w:sz w:val="32"/>
          <w:szCs w:val="32"/>
          <w:highlight w:val="none"/>
          <w:lang w:val="en-US" w:eastAsia="zh-CN"/>
        </w:rPr>
        <w:t>100%，实现预期效果（持续降低）</w:t>
      </w:r>
      <w:r>
        <w:rPr>
          <w:rFonts w:hint="default" w:ascii="Times New Roman" w:hAnsi="Times New Roman" w:eastAsia="仿宋_GB2312" w:cs="Times New Roman"/>
          <w:snapToGrid w:val="0"/>
          <w:color w:val="auto"/>
          <w:kern w:val="0"/>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left="0" w:right="0" w:firstLine="643" w:firstLineChars="200"/>
        <w:jc w:val="both"/>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指标8 </w:t>
      </w:r>
      <w:r>
        <w:rPr>
          <w:rFonts w:hint="default" w:ascii="Times New Roman" w:hAnsi="Times New Roman" w:eastAsia="仿宋_GB2312" w:cs="Times New Roman"/>
          <w:b w:val="0"/>
          <w:bCs w:val="0"/>
          <w:snapToGrid w:val="0"/>
          <w:color w:val="auto"/>
          <w:kern w:val="0"/>
          <w:sz w:val="32"/>
          <w:szCs w:val="32"/>
          <w:highlight w:val="none"/>
          <w:lang w:val="en-US" w:eastAsia="zh-CN"/>
        </w:rPr>
        <w:t>经办机构拨付资金的及时性。《广东省</w:t>
      </w:r>
      <w:r>
        <w:rPr>
          <w:rStyle w:val="13"/>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rPr>
        <w:t>关于疾病应急救助制度的实施细则</w:t>
      </w:r>
      <w:r>
        <w:rPr>
          <w:rStyle w:val="13"/>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eastAsia="zh-CN"/>
        </w:rPr>
        <w:t>》</w:t>
      </w:r>
      <w:r>
        <w:rPr>
          <w:rStyle w:val="13"/>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val="en-US" w:eastAsia="zh-CN"/>
        </w:rPr>
        <w:t>规定：</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rPr>
        <w:t>各地级市卫生计生部门收到材料后5日内向同级财政部门申请拨付。各地级市财政部门10日内完成应急救助资金拨付。各地基金经办管理机构每年7月5日和次年1月5日前填写《疾病应急救助基金支付情况统计表》报送省级疾病应急救助工作领导小组办公室。</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lang w:val="en-US" w:eastAsia="zh-CN"/>
        </w:rPr>
        <w:t>经审核各地</w:t>
      </w:r>
      <w:r>
        <w:rPr>
          <w:rFonts w:hint="default" w:ascii="Times New Roman" w:hAnsi="Times New Roman" w:eastAsia="仿宋_GB2312" w:cs="Times New Roman"/>
          <w:i w:val="0"/>
          <w:iCs w:val="0"/>
          <w:caps w:val="0"/>
          <w:snapToGrid w:val="0"/>
          <w:color w:val="auto"/>
          <w:spacing w:val="0"/>
          <w:sz w:val="32"/>
          <w:szCs w:val="32"/>
          <w:highlight w:val="none"/>
          <w:u w:val="none"/>
          <w:shd w:val="clear" w:color="auto" w:fill="FFFFFF"/>
        </w:rPr>
        <w:t>《疾病应急救助基金支付情况统计表》</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经办机构都在规定时间内拨付资金，资金拨付及时性100%，</w:t>
      </w:r>
      <w:r>
        <w:rPr>
          <w:rFonts w:hint="default" w:ascii="Times New Roman" w:hAnsi="Times New Roman" w:eastAsia="仿宋_GB2312" w:cs="Times New Roman"/>
          <w:snapToGrid w:val="0"/>
          <w:color w:val="auto"/>
          <w:kern w:val="0"/>
          <w:sz w:val="32"/>
          <w:szCs w:val="32"/>
          <w:highlight w:val="none"/>
          <w:lang w:val="en-US" w:eastAsia="zh-CN"/>
        </w:rPr>
        <w:t>实现预期效果（持续提高）</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snapToGrid w:val="0"/>
          <w:color w:val="auto"/>
          <w:kern w:val="2"/>
          <w:sz w:val="32"/>
          <w:szCs w:val="32"/>
          <w:highlight w:val="none"/>
        </w:rPr>
      </w:pPr>
      <w:r>
        <w:rPr>
          <w:rFonts w:hint="default" w:ascii="Times New Roman" w:hAnsi="Times New Roman" w:eastAsia="仿宋_GB2312" w:cs="Times New Roman"/>
          <w:b/>
          <w:bCs/>
          <w:snapToGrid w:val="0"/>
          <w:color w:val="auto"/>
          <w:kern w:val="2"/>
          <w:sz w:val="32"/>
          <w:szCs w:val="32"/>
          <w:highlight w:val="none"/>
          <w:lang w:val="en-US" w:eastAsia="zh-CN"/>
        </w:rPr>
        <w:t>2</w:t>
      </w:r>
      <w:r>
        <w:rPr>
          <w:rFonts w:hint="default" w:ascii="仿宋_GB2312" w:hAnsi="仿宋_GB2312" w:eastAsia="仿宋_GB2312" w:cs="仿宋_GB2312"/>
          <w:b/>
          <w:bCs/>
          <w:snapToGrid w:val="0"/>
          <w:color w:val="auto"/>
          <w:kern w:val="2"/>
          <w:sz w:val="32"/>
          <w:szCs w:val="32"/>
          <w:highlight w:val="none"/>
          <w:lang w:val="en-US" w:eastAsia="zh-CN"/>
        </w:rPr>
        <w:t>.</w:t>
      </w:r>
      <w:r>
        <w:rPr>
          <w:rFonts w:hint="default" w:ascii="Times New Roman" w:hAnsi="Times New Roman" w:eastAsia="仿宋_GB2312" w:cs="Times New Roman"/>
          <w:b/>
          <w:bCs/>
          <w:snapToGrid w:val="0"/>
          <w:color w:val="auto"/>
          <w:kern w:val="2"/>
          <w:sz w:val="32"/>
          <w:szCs w:val="32"/>
          <w:highlight w:val="none"/>
          <w:lang w:eastAsia="zh-CN"/>
        </w:rPr>
        <w:t>效益指标</w:t>
      </w:r>
      <w:r>
        <w:rPr>
          <w:rFonts w:hint="eastAsia" w:ascii="Times New Roman" w:hAnsi="Times New Roman" w:cs="Times New Roman"/>
          <w:b/>
          <w:bCs/>
          <w:snapToGrid w:val="0"/>
          <w:color w:val="auto"/>
          <w:kern w:val="2"/>
          <w:sz w:val="32"/>
          <w:szCs w:val="32"/>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b w:val="0"/>
          <w:bCs w:val="0"/>
          <w:snapToGrid w:val="0"/>
          <w:color w:val="auto"/>
          <w:kern w:val="0"/>
          <w:sz w:val="32"/>
          <w:szCs w:val="32"/>
          <w:highlight w:val="none"/>
          <w:shd w:val="clear" w:color="auto" w:fill="FFFF00"/>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指标9 </w:t>
      </w:r>
      <w:r>
        <w:rPr>
          <w:rFonts w:hint="default" w:ascii="Times New Roman" w:hAnsi="Times New Roman" w:eastAsia="仿宋_GB2312" w:cs="Times New Roman"/>
          <w:b w:val="0"/>
          <w:bCs w:val="0"/>
          <w:snapToGrid w:val="0"/>
          <w:color w:val="auto"/>
          <w:kern w:val="0"/>
          <w:sz w:val="32"/>
          <w:szCs w:val="32"/>
          <w:highlight w:val="none"/>
          <w:lang w:val="en-US" w:eastAsia="zh-CN"/>
        </w:rPr>
        <w:t>符合制度要求患者的救治及时性</w:t>
      </w:r>
      <w:r>
        <w:rPr>
          <w:rFonts w:hint="default" w:ascii="Times New Roman" w:hAnsi="Times New Roman" w:eastAsia="仿宋_GB2312" w:cs="Times New Roman"/>
          <w:snapToGrid w:val="0"/>
          <w:color w:val="auto"/>
          <w:kern w:val="0"/>
          <w:sz w:val="32"/>
          <w:szCs w:val="32"/>
          <w:highlight w:val="none"/>
          <w:lang w:val="en-US" w:eastAsia="zh-CN" w:bidi="ar-SA"/>
        </w:rPr>
        <w:t>。2022年，</w:t>
      </w:r>
      <w:r>
        <w:rPr>
          <w:rFonts w:hint="default" w:ascii="Times New Roman" w:hAnsi="Times New Roman" w:eastAsia="仿宋_GB2312" w:cs="Times New Roman"/>
          <w:b w:val="0"/>
          <w:bCs w:val="0"/>
          <w:snapToGrid w:val="0"/>
          <w:color w:val="auto"/>
          <w:sz w:val="32"/>
          <w:szCs w:val="32"/>
          <w:highlight w:val="none"/>
          <w:lang w:val="en-US" w:eastAsia="zh-CN"/>
        </w:rPr>
        <w:t>省内21地市医疗机构收治的</w:t>
      </w:r>
      <w:r>
        <w:rPr>
          <w:rFonts w:hint="default" w:ascii="Times New Roman" w:hAnsi="Times New Roman" w:eastAsia="仿宋_GB2312" w:cs="Times New Roman"/>
          <w:b w:val="0"/>
          <w:bCs w:val="0"/>
          <w:snapToGrid w:val="0"/>
          <w:color w:val="auto"/>
          <w:sz w:val="32"/>
          <w:szCs w:val="32"/>
          <w:highlight w:val="none"/>
          <w:lang w:eastAsia="zh-CN"/>
        </w:rPr>
        <w:t>身份不明或无力支付费用的急危重伤病患者</w:t>
      </w:r>
      <w:r>
        <w:rPr>
          <w:rFonts w:hint="default" w:ascii="Times New Roman" w:hAnsi="Times New Roman" w:eastAsia="仿宋_GB2312" w:cs="Times New Roman"/>
          <w:snapToGrid w:val="0"/>
          <w:color w:val="auto"/>
          <w:sz w:val="32"/>
          <w:szCs w:val="32"/>
          <w:highlight w:val="none"/>
          <w:u w:val="none" w:color="auto"/>
          <w:lang w:val="en-US" w:eastAsia="zh-CN"/>
        </w:rPr>
        <w:t>6393名</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b w:val="0"/>
          <w:bCs w:val="0"/>
          <w:snapToGrid w:val="0"/>
          <w:color w:val="auto"/>
          <w:kern w:val="0"/>
          <w:sz w:val="32"/>
          <w:szCs w:val="32"/>
          <w:highlight w:val="none"/>
          <w:lang w:val="en-US" w:eastAsia="zh-CN"/>
        </w:rPr>
        <w:t>符合制度要求</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及时实施救治的</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急危重伤患</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者</w:t>
      </w:r>
      <w:r>
        <w:rPr>
          <w:rFonts w:hint="default" w:ascii="Times New Roman" w:hAnsi="Times New Roman" w:eastAsia="仿宋_GB2312" w:cs="Times New Roman"/>
          <w:snapToGrid w:val="0"/>
          <w:color w:val="auto"/>
          <w:sz w:val="32"/>
          <w:szCs w:val="32"/>
          <w:highlight w:val="none"/>
          <w:u w:val="none" w:color="auto"/>
          <w:lang w:val="en-US" w:eastAsia="zh-CN"/>
        </w:rPr>
        <w:t>5424名，救治及时性100%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实现预期效果（≧80%）</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b/>
          <w:bCs/>
          <w:snapToGrid w:val="0"/>
          <w:color w:val="auto"/>
          <w:kern w:val="2"/>
          <w:sz w:val="32"/>
          <w:szCs w:val="32"/>
          <w:highlight w:val="none"/>
          <w:lang w:eastAsia="zh-CN"/>
        </w:rPr>
      </w:pPr>
      <w:r>
        <w:rPr>
          <w:rFonts w:hint="default" w:ascii="Times New Roman" w:hAnsi="Times New Roman" w:eastAsia="仿宋_GB2312" w:cs="Times New Roman"/>
          <w:b/>
          <w:bCs/>
          <w:snapToGrid w:val="0"/>
          <w:color w:val="auto"/>
          <w:kern w:val="2"/>
          <w:sz w:val="32"/>
          <w:szCs w:val="32"/>
          <w:highlight w:val="none"/>
          <w:lang w:val="en-US" w:eastAsia="zh-CN"/>
        </w:rPr>
        <w:t>3</w:t>
      </w:r>
      <w:r>
        <w:rPr>
          <w:rFonts w:hint="default" w:ascii="仿宋_GB2312" w:hAnsi="仿宋_GB2312" w:eastAsia="仿宋_GB2312" w:cs="仿宋_GB2312"/>
          <w:b/>
          <w:bCs/>
          <w:snapToGrid w:val="0"/>
          <w:color w:val="auto"/>
          <w:kern w:val="2"/>
          <w:sz w:val="32"/>
          <w:szCs w:val="32"/>
          <w:highlight w:val="none"/>
          <w:lang w:val="en-US" w:eastAsia="zh-CN"/>
        </w:rPr>
        <w:t>.</w:t>
      </w:r>
      <w:r>
        <w:rPr>
          <w:rFonts w:hint="default" w:ascii="Times New Roman" w:hAnsi="Times New Roman" w:eastAsia="仿宋_GB2312" w:cs="Times New Roman"/>
          <w:b/>
          <w:bCs/>
          <w:snapToGrid w:val="0"/>
          <w:color w:val="auto"/>
          <w:kern w:val="2"/>
          <w:sz w:val="32"/>
          <w:szCs w:val="32"/>
          <w:highlight w:val="none"/>
          <w:lang w:val="en-US" w:eastAsia="zh-CN"/>
        </w:rPr>
        <w:t>满意度</w:t>
      </w:r>
      <w:r>
        <w:rPr>
          <w:rFonts w:hint="default" w:ascii="Times New Roman" w:hAnsi="Times New Roman" w:eastAsia="仿宋_GB2312" w:cs="Times New Roman"/>
          <w:b/>
          <w:bCs/>
          <w:snapToGrid w:val="0"/>
          <w:color w:val="auto"/>
          <w:kern w:val="2"/>
          <w:sz w:val="32"/>
          <w:szCs w:val="32"/>
          <w:highlight w:val="none"/>
          <w:lang w:eastAsia="zh-CN"/>
        </w:rPr>
        <w:t>指标完成</w:t>
      </w:r>
      <w:r>
        <w:rPr>
          <w:rFonts w:hint="default" w:ascii="Times New Roman" w:hAnsi="Times New Roman" w:eastAsia="仿宋_GB2312" w:cs="Times New Roman"/>
          <w:b/>
          <w:bCs/>
          <w:snapToGrid w:val="0"/>
          <w:color w:val="auto"/>
          <w:kern w:val="2"/>
          <w:sz w:val="32"/>
          <w:szCs w:val="32"/>
          <w:highlight w:val="none"/>
        </w:rPr>
        <w:t>情况分析</w:t>
      </w:r>
      <w:r>
        <w:rPr>
          <w:rFonts w:hint="eastAsia" w:ascii="Times New Roman" w:hAnsi="Times New Roman" w:cs="Times New Roman"/>
          <w:b/>
          <w:bCs/>
          <w:snapToGrid w:val="0"/>
          <w:color w:val="auto"/>
          <w:kern w:val="2"/>
          <w:sz w:val="32"/>
          <w:szCs w:val="32"/>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b w:val="0"/>
          <w:bCs/>
          <w:snapToGrid w:val="0"/>
          <w:color w:val="auto"/>
          <w:sz w:val="32"/>
          <w:szCs w:val="32"/>
          <w:highlight w:val="none"/>
          <w:lang w:val="en-US" w:eastAsia="zh-CN"/>
        </w:rPr>
      </w:pPr>
      <w:r>
        <w:rPr>
          <w:rFonts w:hint="default" w:ascii="Times New Roman" w:hAnsi="Times New Roman" w:eastAsia="仿宋_GB2312" w:cs="Times New Roman"/>
          <w:b/>
          <w:bCs w:val="0"/>
          <w:snapToGrid w:val="0"/>
          <w:color w:val="auto"/>
          <w:sz w:val="32"/>
          <w:szCs w:val="32"/>
          <w:highlight w:val="none"/>
          <w:lang w:val="en-US" w:eastAsia="zh-CN"/>
        </w:rPr>
        <w:t>指标10</w:t>
      </w:r>
      <w:r>
        <w:rPr>
          <w:rFonts w:hint="default" w:ascii="Times New Roman" w:hAnsi="Times New Roman" w:eastAsia="仿宋_GB2312" w:cs="Times New Roman"/>
          <w:b w:val="0"/>
          <w:bCs/>
          <w:snapToGrid w:val="0"/>
          <w:color w:val="auto"/>
          <w:sz w:val="32"/>
          <w:szCs w:val="32"/>
          <w:highlight w:val="none"/>
          <w:lang w:val="en-US" w:eastAsia="zh-CN"/>
        </w:rPr>
        <w:t xml:space="preserve"> 救助对象</w:t>
      </w:r>
      <w:r>
        <w:rPr>
          <w:rFonts w:hint="default" w:ascii="Times New Roman" w:hAnsi="Times New Roman" w:eastAsia="仿宋_GB2312" w:cs="Times New Roman"/>
          <w:b w:val="0"/>
          <w:bCs w:val="0"/>
          <w:snapToGrid w:val="0"/>
          <w:color w:val="auto"/>
          <w:sz w:val="32"/>
          <w:szCs w:val="32"/>
          <w:highlight w:val="none"/>
          <w:u w:val="none" w:color="auto"/>
        </w:rPr>
        <w:t>满意度</w:t>
      </w:r>
      <w:r>
        <w:rPr>
          <w:rFonts w:hint="default" w:ascii="Times New Roman" w:hAnsi="Times New Roman" w:eastAsia="仿宋_GB2312" w:cs="Times New Roman"/>
          <w:b w:val="0"/>
          <w:bCs w:val="0"/>
          <w:snapToGrid w:val="0"/>
          <w:color w:val="auto"/>
          <w:sz w:val="32"/>
          <w:szCs w:val="32"/>
          <w:highlight w:val="none"/>
          <w:u w:val="none" w:color="auto"/>
          <w:lang w:eastAsia="zh-CN"/>
        </w:rPr>
        <w:t>。</w:t>
      </w:r>
      <w:r>
        <w:rPr>
          <w:rFonts w:hint="default" w:ascii="Times New Roman" w:hAnsi="Times New Roman" w:eastAsia="仿宋_GB2312" w:cs="Times New Roman"/>
          <w:snapToGrid w:val="0"/>
          <w:color w:val="auto"/>
          <w:sz w:val="32"/>
          <w:szCs w:val="32"/>
          <w:highlight w:val="none"/>
          <w:u w:val="none" w:color="auto"/>
          <w:lang w:val="en-US" w:eastAsia="zh-CN"/>
        </w:rPr>
        <w:t>2021年我省共631家公立医院参与全国二级及以上公立医院满意度调查，</w:t>
      </w:r>
      <w:r>
        <w:rPr>
          <w:rFonts w:hint="eastAsia" w:eastAsia="仿宋_GB2312" w:cs="Times New Roman"/>
          <w:snapToGrid w:val="0"/>
          <w:color w:val="auto"/>
          <w:sz w:val="32"/>
          <w:szCs w:val="32"/>
          <w:highlight w:val="none"/>
          <w:u w:val="none" w:color="auto"/>
          <w:lang w:val="en-US" w:eastAsia="zh-CN"/>
        </w:rPr>
        <w:t>较2020年满意度分数有所增加，实现预期效果。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三、偏离绩效目标的原因和下一步改进措施</w:t>
      </w:r>
    </w:p>
    <w:p>
      <w:pPr>
        <w:keepNext w:val="0"/>
        <w:keepLines w:val="0"/>
        <w:pageBreakBefore w:val="0"/>
        <w:kinsoku/>
        <w:overflowPunct/>
        <w:topLinePunct w:val="0"/>
        <w:autoSpaceDE/>
        <w:autoSpaceDN/>
        <w:bidi w:val="0"/>
        <w:adjustRightInd/>
        <w:spacing w:line="560" w:lineRule="exact"/>
        <w:ind w:firstLine="640"/>
        <w:jc w:val="both"/>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截至2022年12月31日，2022年中央财政医疗救助补助资金（疾病应急救助）</w:t>
      </w:r>
      <w:r>
        <w:rPr>
          <w:rFonts w:hint="default" w:ascii="Times New Roman" w:hAnsi="Times New Roman" w:eastAsia="仿宋_GB2312" w:cs="Times New Roman"/>
          <w:snapToGrid w:val="0"/>
          <w:color w:val="auto"/>
          <w:kern w:val="0"/>
          <w:sz w:val="32"/>
          <w:szCs w:val="32"/>
          <w:highlight w:val="none"/>
          <w:lang w:eastAsia="zh-CN"/>
        </w:rPr>
        <w:t>预算执行率</w:t>
      </w:r>
      <w:r>
        <w:rPr>
          <w:rFonts w:hint="default" w:ascii="Times New Roman" w:hAnsi="Times New Roman" w:eastAsia="仿宋_GB2312" w:cs="Times New Roman"/>
          <w:snapToGrid w:val="0"/>
          <w:color w:val="auto"/>
          <w:kern w:val="0"/>
          <w:sz w:val="32"/>
          <w:szCs w:val="32"/>
          <w:highlight w:val="none"/>
          <w:lang w:val="en-US" w:eastAsia="zh-CN"/>
        </w:rPr>
        <w:t>支出率达到92.18%，未实现预期目标（100%）</w:t>
      </w:r>
      <w:r>
        <w:rPr>
          <w:rFonts w:hint="default" w:ascii="Times New Roman" w:hAnsi="Times New Roman" w:eastAsia="仿宋_GB2312" w:cs="Times New Roman"/>
          <w:snapToGrid w:val="0"/>
          <w:color w:val="auto"/>
          <w:kern w:val="0"/>
          <w:sz w:val="32"/>
          <w:szCs w:val="32"/>
          <w:highlight w:val="none"/>
          <w:lang w:val="en-US" w:eastAsia="zh-CN" w:bidi="ar-SA"/>
        </w:rPr>
        <w:t>。主要原因是：</w:t>
      </w:r>
      <w:r>
        <w:rPr>
          <w:rFonts w:hint="default" w:ascii="Times New Roman" w:hAnsi="Times New Roman" w:eastAsia="仿宋_GB2312" w:cs="Times New Roman"/>
          <w:b w:val="0"/>
          <w:bCs w:val="0"/>
          <w:snapToGrid w:val="0"/>
          <w:color w:val="auto"/>
          <w:sz w:val="32"/>
          <w:szCs w:val="32"/>
          <w:highlight w:val="none"/>
          <w:lang w:val="en-US" w:eastAsia="zh-CN"/>
        </w:rPr>
        <w:t>核报核销程序比较复杂，认证需时较长。个别地区财政拨付时间节点与国家要求的时间不匹配</w:t>
      </w:r>
      <w:r>
        <w:rPr>
          <w:rFonts w:hint="default" w:ascii="Times New Roman" w:hAnsi="Times New Roman" w:eastAsia="仿宋_GB2312" w:cs="Times New Roman"/>
          <w:snapToGrid w:val="0"/>
          <w:color w:val="auto"/>
          <w:sz w:val="32"/>
          <w:szCs w:val="32"/>
          <w:highlight w:val="none"/>
          <w:u w:val="none" w:color="auto"/>
          <w:lang w:val="en-US" w:eastAsia="zh-CN"/>
        </w:rPr>
        <w:t>。</w:t>
      </w:r>
      <w:r>
        <w:rPr>
          <w:rFonts w:hint="default" w:ascii="Times New Roman" w:hAnsi="Times New Roman" w:eastAsia="仿宋_GB2312" w:cs="Times New Roman"/>
          <w:snapToGrid w:val="0"/>
          <w:color w:val="auto"/>
          <w:kern w:val="0"/>
          <w:sz w:val="32"/>
          <w:szCs w:val="32"/>
          <w:highlight w:val="none"/>
          <w:lang w:val="en-US" w:eastAsia="zh-CN" w:bidi="ar-SA"/>
        </w:rPr>
        <w:t>改进措施：</w:t>
      </w:r>
      <w:r>
        <w:rPr>
          <w:rFonts w:hint="default" w:ascii="Times New Roman" w:hAnsi="Times New Roman" w:eastAsia="仿宋_GB2312" w:cs="Times New Roman"/>
          <w:b w:val="0"/>
          <w:bCs w:val="0"/>
          <w:snapToGrid w:val="0"/>
          <w:color w:val="auto"/>
          <w:sz w:val="32"/>
          <w:szCs w:val="32"/>
          <w:highlight w:val="none"/>
          <w:lang w:val="en-US" w:eastAsia="zh-CN"/>
        </w:rPr>
        <w:t>继续</w:t>
      </w:r>
      <w:r>
        <w:rPr>
          <w:rFonts w:hint="default" w:ascii="Times New Roman" w:hAnsi="Times New Roman" w:eastAsia="仿宋_GB2312" w:cs="Times New Roman"/>
          <w:b w:val="0"/>
          <w:bCs w:val="0"/>
          <w:snapToGrid w:val="0"/>
          <w:color w:val="auto"/>
          <w:sz w:val="32"/>
          <w:szCs w:val="32"/>
          <w:highlight w:val="none"/>
        </w:rPr>
        <w:t>加强与公安、民政、财政、人力资源社会保障等部门沟通协调</w:t>
      </w:r>
      <w:r>
        <w:rPr>
          <w:rFonts w:hint="default" w:ascii="Times New Roman" w:hAnsi="Times New Roman" w:eastAsia="仿宋_GB2312" w:cs="Times New Roman"/>
          <w:b w:val="0"/>
          <w:bCs w:val="0"/>
          <w:snapToGrid w:val="0"/>
          <w:color w:val="auto"/>
          <w:sz w:val="32"/>
          <w:szCs w:val="32"/>
          <w:highlight w:val="none"/>
          <w:lang w:eastAsia="zh-CN"/>
        </w:rPr>
        <w:t>，协助医疗机构核查无名患者身份，落实欠费追偿制度</w:t>
      </w:r>
      <w:r>
        <w:rPr>
          <w:rFonts w:hint="default" w:ascii="Times New Roman" w:hAnsi="Times New Roman"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进一步做好疾病应急救助制度与临时救助制度的衔接，实现应助尽助，保障困难群众生命安全。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b w:val="0"/>
          <w:bCs w:val="0"/>
          <w:snapToGrid w:val="0"/>
          <w:color w:val="auto"/>
          <w:kern w:val="0"/>
          <w:sz w:val="32"/>
          <w:szCs w:val="32"/>
          <w:highlight w:val="none"/>
          <w:shd w:val="clear" w:color="auto" w:fill="FFFF00"/>
          <w:lang w:val="en-US" w:eastAsia="zh-CN"/>
        </w:rPr>
      </w:pPr>
      <w:r>
        <w:rPr>
          <w:rFonts w:hint="default" w:ascii="Times New Roman" w:hAnsi="Times New Roman" w:eastAsia="黑体" w:cs="Times New Roman"/>
          <w:b w:val="0"/>
          <w:bCs/>
          <w:snapToGrid w:val="0"/>
          <w:color w:val="auto"/>
          <w:sz w:val="32"/>
          <w:szCs w:val="32"/>
          <w:highlight w:val="none"/>
          <w:lang w:val="en-US" w:eastAsia="zh-CN"/>
        </w:rPr>
        <w:t>四</w:t>
      </w:r>
      <w:r>
        <w:rPr>
          <w:rFonts w:hint="default" w:ascii="Times New Roman" w:hAnsi="Times New Roman" w:eastAsia="黑体" w:cs="Times New Roman"/>
          <w:b w:val="0"/>
          <w:bCs/>
          <w:snapToGrid w:val="0"/>
          <w:color w:val="auto"/>
          <w:sz w:val="32"/>
          <w:szCs w:val="32"/>
          <w:highlight w:val="none"/>
        </w:rPr>
        <w:t>、</w:t>
      </w:r>
      <w:r>
        <w:rPr>
          <w:rFonts w:hint="default" w:ascii="Times New Roman" w:hAnsi="Times New Roman" w:eastAsia="黑体" w:cs="Times New Roman"/>
          <w:b w:val="0"/>
          <w:bCs w:val="0"/>
          <w:snapToGrid w:val="0"/>
          <w:color w:val="auto"/>
          <w:kern w:val="0"/>
          <w:sz w:val="32"/>
          <w:szCs w:val="32"/>
          <w:highlight w:val="none"/>
          <w:lang w:val="en-US" w:eastAsia="zh-CN"/>
        </w:rPr>
        <w:t>存在困难与建议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rPr>
        <w:t>存在的困难、</w:t>
      </w:r>
      <w:r>
        <w:rPr>
          <w:rFonts w:hint="eastAsia" w:ascii="楷体_GB2312" w:hAnsi="楷体_GB2312" w:eastAsia="楷体_GB2312" w:cs="楷体_GB2312"/>
          <w:b w:val="0"/>
          <w:bCs w:val="0"/>
          <w:snapToGrid w:val="0"/>
          <w:color w:val="auto"/>
          <w:kern w:val="0"/>
          <w:sz w:val="32"/>
          <w:szCs w:val="32"/>
          <w:highlight w:val="none"/>
          <w:lang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eastAsia" w:ascii="仿宋_GB2312" w:hAnsi="仿宋_GB2312" w:eastAsia="仿宋_GB2312" w:cs="仿宋_GB2312"/>
          <w:b/>
          <w:bCs/>
          <w:snapToGrid w:val="0"/>
          <w:color w:val="auto"/>
          <w:sz w:val="32"/>
          <w:szCs w:val="32"/>
          <w:highlight w:val="none"/>
          <w:lang w:val="en-US" w:eastAsia="zh-CN"/>
        </w:rPr>
        <w:t>.欠</w:t>
      </w:r>
      <w:r>
        <w:rPr>
          <w:rFonts w:hint="default" w:ascii="Times New Roman" w:hAnsi="Times New Roman" w:eastAsia="仿宋_GB2312" w:cs="Times New Roman"/>
          <w:b/>
          <w:bCs/>
          <w:snapToGrid w:val="0"/>
          <w:color w:val="auto"/>
          <w:sz w:val="32"/>
          <w:szCs w:val="32"/>
          <w:highlight w:val="none"/>
          <w:lang w:val="en-US" w:eastAsia="zh-CN"/>
        </w:rPr>
        <w:t>费追偿机制执行不力。</w:t>
      </w:r>
      <w:r>
        <w:rPr>
          <w:rFonts w:hint="default" w:ascii="Times New Roman" w:hAnsi="Times New Roman" w:eastAsia="仿宋_GB2312" w:cs="Times New Roman"/>
          <w:snapToGrid w:val="0"/>
          <w:color w:val="auto"/>
          <w:sz w:val="32"/>
          <w:szCs w:val="32"/>
          <w:highlight w:val="none"/>
          <w:lang w:val="en-US" w:eastAsia="zh-CN"/>
        </w:rPr>
        <w:t>部分医疗机构没有严格落实欠费追偿制度，追偿资料不全</w:t>
      </w:r>
      <w:r>
        <w:rPr>
          <w:rFonts w:hint="default" w:ascii="Times New Roman" w:hAnsi="Times New Roman" w:eastAsia="仿宋_GB2312" w:cs="Times New Roman"/>
          <w:b w:val="0"/>
          <w:bCs w:val="0"/>
          <w:snapToGrid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2</w:t>
      </w:r>
      <w:r>
        <w:rPr>
          <w:rFonts w:hint="default" w:ascii="仿宋_GB2312" w:hAnsi="仿宋_GB2312" w:eastAsia="仿宋_GB2312" w:cs="仿宋_GB2312"/>
          <w:b/>
          <w:bCs/>
          <w:snapToGrid w:val="0"/>
          <w:color w:val="auto"/>
          <w:sz w:val="32"/>
          <w:szCs w:val="32"/>
          <w:highlight w:val="none"/>
          <w:lang w:val="en-US" w:eastAsia="zh-CN"/>
        </w:rPr>
        <w:t>.核</w:t>
      </w:r>
      <w:r>
        <w:rPr>
          <w:rFonts w:hint="default" w:ascii="Times New Roman" w:hAnsi="Times New Roman" w:eastAsia="仿宋_GB2312" w:cs="Times New Roman"/>
          <w:b/>
          <w:bCs/>
          <w:snapToGrid w:val="0"/>
          <w:color w:val="auto"/>
          <w:sz w:val="32"/>
          <w:szCs w:val="32"/>
          <w:highlight w:val="none"/>
          <w:lang w:val="en-US" w:eastAsia="zh-CN"/>
        </w:rPr>
        <w:t>报核销程序比较复杂，认证需时较长。</w:t>
      </w:r>
      <w:r>
        <w:rPr>
          <w:rFonts w:hint="default" w:ascii="Times New Roman" w:hAnsi="Times New Roman" w:eastAsia="仿宋_GB2312" w:cs="Times New Roman"/>
          <w:b w:val="0"/>
          <w:bCs w:val="0"/>
          <w:snapToGrid w:val="0"/>
          <w:color w:val="auto"/>
          <w:sz w:val="32"/>
          <w:szCs w:val="32"/>
          <w:highlight w:val="none"/>
          <w:lang w:val="en-US" w:eastAsia="zh-CN"/>
        </w:rPr>
        <w:t>个别地区财政拨付时间节点与国家要求的时间不匹配；部分医疗机构在核查无名病患身份时存在困难，导致无法及时追回欠款。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w:t>
      </w:r>
      <w:r>
        <w:rPr>
          <w:rFonts w:hint="default" w:ascii="楷体_GB2312" w:hAnsi="楷体_GB2312" w:eastAsia="楷体_GB2312" w:cs="楷体_GB2312"/>
          <w:b w:val="0"/>
          <w:bCs w:val="0"/>
          <w:snapToGrid w:val="0"/>
          <w:color w:val="auto"/>
          <w:kern w:val="0"/>
          <w:sz w:val="32"/>
          <w:szCs w:val="32"/>
          <w:highlight w:val="none"/>
          <w:lang w:val="en-US" w:eastAsia="zh-CN"/>
        </w:rPr>
        <w:t>二</w:t>
      </w:r>
      <w:r>
        <w:rPr>
          <w:rFonts w:hint="eastAsia" w:ascii="楷体_GB2312" w:hAnsi="楷体_GB2312" w:eastAsia="楷体_GB2312" w:cs="楷体_GB2312"/>
          <w:b w:val="0"/>
          <w:bCs w:val="0"/>
          <w:snapToGrid w:val="0"/>
          <w:color w:val="auto"/>
          <w:kern w:val="0"/>
          <w:sz w:val="32"/>
          <w:szCs w:val="32"/>
          <w:highlight w:val="none"/>
          <w:lang w:val="en-US" w:eastAsia="zh-CN"/>
        </w:rPr>
        <w:t>）</w:t>
      </w:r>
      <w:r>
        <w:rPr>
          <w:rFonts w:hint="default" w:ascii="楷体_GB2312" w:hAnsi="楷体_GB2312" w:eastAsia="楷体_GB2312" w:cs="楷体_GB2312"/>
          <w:b w:val="0"/>
          <w:bCs w:val="0"/>
          <w:snapToGrid w:val="0"/>
          <w:color w:val="auto"/>
          <w:kern w:val="0"/>
          <w:sz w:val="32"/>
          <w:szCs w:val="32"/>
          <w:highlight w:val="none"/>
          <w:lang w:val="en-US" w:eastAsia="zh-CN"/>
        </w:rPr>
        <w:t>工作建议</w:t>
      </w:r>
      <w:r>
        <w:rPr>
          <w:rFonts w:hint="eastAsia" w:ascii="楷体_GB2312" w:hAnsi="楷体_GB2312" w:eastAsia="楷体_GB2312" w:cs="楷体_GB2312"/>
          <w:b w:val="0"/>
          <w:bCs w:val="0"/>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val="0"/>
          <w:bCs w:val="0"/>
          <w:snapToGrid w:val="0"/>
          <w:color w:val="auto"/>
          <w:sz w:val="32"/>
          <w:szCs w:val="32"/>
          <w:highlight w:val="none"/>
          <w:lang w:val="en-US" w:eastAsia="zh-CN"/>
        </w:rPr>
        <w:t>1</w:t>
      </w:r>
      <w:r>
        <w:rPr>
          <w:rFonts w:hint="eastAsia" w:ascii="仿宋_GB2312" w:hAnsi="仿宋_GB2312" w:eastAsia="仿宋_GB2312" w:cs="仿宋_GB2312"/>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rPr>
        <w:t>建立健全疾病救助经办管理机构，</w:t>
      </w:r>
      <w:r>
        <w:rPr>
          <w:rFonts w:hint="default" w:ascii="Times New Roman" w:hAnsi="Times New Roman" w:eastAsia="仿宋_GB2312" w:cs="Times New Roman"/>
          <w:b w:val="0"/>
          <w:bCs w:val="0"/>
          <w:snapToGrid w:val="0"/>
          <w:color w:val="auto"/>
          <w:sz w:val="32"/>
          <w:szCs w:val="32"/>
          <w:highlight w:val="none"/>
          <w:lang w:eastAsia="zh-CN"/>
        </w:rPr>
        <w:t>进一步完善</w:t>
      </w:r>
      <w:r>
        <w:rPr>
          <w:rFonts w:hint="default" w:ascii="Times New Roman" w:hAnsi="Times New Roman" w:eastAsia="仿宋_GB2312" w:cs="Times New Roman"/>
          <w:snapToGrid w:val="0"/>
          <w:color w:val="auto"/>
          <w:sz w:val="32"/>
          <w:szCs w:val="32"/>
          <w:highlight w:val="none"/>
        </w:rPr>
        <w:t>绩效指标</w:t>
      </w:r>
      <w:r>
        <w:rPr>
          <w:rFonts w:hint="default" w:ascii="Times New Roman" w:hAnsi="Times New Roman" w:eastAsia="仿宋_GB2312" w:cs="Times New Roman"/>
          <w:snapToGrid w:val="0"/>
          <w:color w:val="auto"/>
          <w:sz w:val="32"/>
          <w:szCs w:val="32"/>
          <w:highlight w:val="none"/>
          <w:lang w:eastAsia="zh-CN"/>
        </w:rPr>
        <w:t>设置和</w:t>
      </w:r>
      <w:r>
        <w:rPr>
          <w:rFonts w:hint="default" w:ascii="Times New Roman" w:hAnsi="Times New Roman" w:eastAsia="仿宋_GB2312" w:cs="Times New Roman"/>
          <w:b w:val="0"/>
          <w:bCs w:val="0"/>
          <w:snapToGrid w:val="0"/>
          <w:color w:val="auto"/>
          <w:sz w:val="32"/>
          <w:szCs w:val="32"/>
          <w:highlight w:val="none"/>
        </w:rPr>
        <w:t>核报核销制度。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val="0"/>
          <w:bCs w:val="0"/>
          <w:snapToGrid w:val="0"/>
          <w:color w:val="auto"/>
          <w:sz w:val="32"/>
          <w:szCs w:val="32"/>
          <w:highlight w:val="none"/>
          <w:lang w:val="en-US" w:eastAsia="zh-CN"/>
        </w:rPr>
        <w:t>2</w:t>
      </w:r>
      <w:r>
        <w:rPr>
          <w:rFonts w:hint="default" w:ascii="仿宋_GB2312" w:hAnsi="仿宋_GB2312" w:eastAsia="仿宋_GB2312" w:cs="仿宋_GB2312"/>
          <w:b w:val="0"/>
          <w:bCs w:val="0"/>
          <w:snapToGrid w:val="0"/>
          <w:color w:val="auto"/>
          <w:sz w:val="32"/>
          <w:szCs w:val="32"/>
          <w:highlight w:val="none"/>
          <w:lang w:val="en-US" w:eastAsia="zh-CN"/>
        </w:rPr>
        <w:t>.继</w:t>
      </w:r>
      <w:r>
        <w:rPr>
          <w:rFonts w:hint="default" w:ascii="Times New Roman" w:hAnsi="Times New Roman" w:eastAsia="仿宋_GB2312" w:cs="Times New Roman"/>
          <w:b w:val="0"/>
          <w:bCs w:val="0"/>
          <w:snapToGrid w:val="0"/>
          <w:color w:val="auto"/>
          <w:sz w:val="32"/>
          <w:szCs w:val="32"/>
          <w:highlight w:val="none"/>
          <w:lang w:val="en-US" w:eastAsia="zh-CN"/>
        </w:rPr>
        <w:t>续</w:t>
      </w:r>
      <w:r>
        <w:rPr>
          <w:rFonts w:hint="default" w:ascii="Times New Roman" w:hAnsi="Times New Roman" w:eastAsia="仿宋_GB2312" w:cs="Times New Roman"/>
          <w:b w:val="0"/>
          <w:bCs w:val="0"/>
          <w:snapToGrid w:val="0"/>
          <w:color w:val="auto"/>
          <w:sz w:val="32"/>
          <w:szCs w:val="32"/>
          <w:highlight w:val="none"/>
        </w:rPr>
        <w:t>加强与公安、民政、财政、人力资源社会保障等部门沟通协调</w:t>
      </w:r>
      <w:r>
        <w:rPr>
          <w:rFonts w:hint="default" w:ascii="Times New Roman" w:hAnsi="Times New Roman" w:eastAsia="仿宋_GB2312" w:cs="Times New Roman"/>
          <w:b w:val="0"/>
          <w:bCs w:val="0"/>
          <w:snapToGrid w:val="0"/>
          <w:color w:val="auto"/>
          <w:sz w:val="32"/>
          <w:szCs w:val="32"/>
          <w:highlight w:val="none"/>
          <w:lang w:eastAsia="zh-CN"/>
        </w:rPr>
        <w:t>，协助医疗机构核查无名患者身份，落实欠费追偿制度。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val="0"/>
          <w:bCs w:val="0"/>
          <w:snapToGrid w:val="0"/>
          <w:color w:val="auto"/>
          <w:sz w:val="32"/>
          <w:szCs w:val="32"/>
          <w:highlight w:val="none"/>
          <w:lang w:val="en-US" w:eastAsia="zh-CN"/>
        </w:rPr>
        <w:t>3</w:t>
      </w:r>
      <w:r>
        <w:rPr>
          <w:rFonts w:hint="default" w:ascii="仿宋_GB2312" w:hAnsi="仿宋_GB2312" w:eastAsia="仿宋_GB2312" w:cs="仿宋_GB2312"/>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eastAsia="zh-CN"/>
        </w:rPr>
        <w:t>推进申报信息化建设，充分利用国家卫生健康委疾病应急救助申报平台开展网上申报、核报核销工作。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4</w:t>
      </w:r>
      <w:r>
        <w:rPr>
          <w:rFonts w:hint="default" w:ascii="仿宋_GB2312" w:hAnsi="仿宋_GB2312" w:eastAsia="仿宋_GB2312" w:cs="仿宋_GB2312"/>
          <w:b w:val="0"/>
          <w:bCs w:val="0"/>
          <w:snapToGrid w:val="0"/>
          <w:color w:val="auto"/>
          <w:sz w:val="32"/>
          <w:szCs w:val="32"/>
          <w:highlight w:val="none"/>
          <w:lang w:val="en-US" w:eastAsia="zh-CN"/>
        </w:rPr>
        <w:t>.进</w:t>
      </w:r>
      <w:r>
        <w:rPr>
          <w:rFonts w:hint="default" w:ascii="Times New Roman" w:hAnsi="Times New Roman" w:eastAsia="仿宋_GB2312" w:cs="Times New Roman"/>
          <w:b w:val="0"/>
          <w:bCs w:val="0"/>
          <w:snapToGrid w:val="0"/>
          <w:color w:val="auto"/>
          <w:sz w:val="32"/>
          <w:szCs w:val="32"/>
          <w:highlight w:val="none"/>
          <w:lang w:val="en-US" w:eastAsia="zh-CN"/>
        </w:rPr>
        <w:t>一步做好疾病应急救助制度与临时救助制度的衔接，实现应助尽助，保障困难群众生命安全。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lang w:val="en-US" w:eastAsia="zh-CN"/>
        </w:rPr>
        <w:t>五、</w:t>
      </w:r>
      <w:r>
        <w:rPr>
          <w:rFonts w:hint="default" w:ascii="Times New Roman" w:hAnsi="Times New Roman" w:eastAsia="黑体" w:cs="Times New Roman"/>
          <w:bCs/>
          <w:snapToGrid w:val="0"/>
          <w:color w:val="auto"/>
          <w:sz w:val="32"/>
          <w:szCs w:val="32"/>
          <w:highlight w:val="none"/>
        </w:rPr>
        <w:t>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rPr>
      </w:pPr>
      <w:r>
        <w:rPr>
          <w:rFonts w:hint="default" w:ascii="楷体_GB2312" w:hAnsi="楷体_GB2312" w:eastAsia="楷体_GB2312" w:cs="楷体_GB2312"/>
          <w:b w:val="0"/>
          <w:bCs w:val="0"/>
          <w:snapToGrid w:val="0"/>
          <w:color w:val="auto"/>
          <w:kern w:val="0"/>
          <w:sz w:val="32"/>
          <w:szCs w:val="32"/>
          <w:highlight w:val="none"/>
          <w:lang w:val="en-US" w:eastAsia="zh-CN"/>
        </w:rPr>
        <w:t>（一）绩效自评结果拟应用</w:t>
      </w:r>
      <w:r>
        <w:rPr>
          <w:rFonts w:hint="eastAsia" w:ascii="楷体_GB2312" w:hAnsi="楷体_GB2312" w:eastAsia="楷体_GB2312" w:cs="楷体_GB2312"/>
          <w:b w:val="0"/>
          <w:bCs w:val="0"/>
          <w:snapToGrid w:val="0"/>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snapToGrid w:val="0"/>
          <w:color w:val="auto"/>
          <w:sz w:val="32"/>
          <w:szCs w:val="32"/>
          <w:highlight w:val="none"/>
          <w:lang w:eastAsia="zh-CN"/>
        </w:rPr>
      </w:pPr>
      <w:r>
        <w:rPr>
          <w:rFonts w:hint="default" w:ascii="Times New Roman" w:hAnsi="Times New Roman" w:eastAsia="仿宋_GB2312" w:cs="Times New Roman"/>
          <w:bCs/>
          <w:snapToGrid w:val="0"/>
          <w:color w:val="auto"/>
          <w:sz w:val="32"/>
          <w:szCs w:val="32"/>
          <w:highlight w:val="none"/>
          <w:lang w:val="en-US" w:eastAsia="zh-CN"/>
        </w:rPr>
        <w:t>将本次绩效自评过程中发现的问题进行归纳总结，督促各地各单位限期整改。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lang w:val="en-US" w:eastAsia="zh-CN"/>
        </w:rPr>
      </w:pPr>
      <w:r>
        <w:rPr>
          <w:rFonts w:hint="default" w:ascii="楷体_GB2312" w:hAnsi="楷体_GB2312" w:eastAsia="楷体_GB2312" w:cs="楷体_GB2312"/>
          <w:b w:val="0"/>
          <w:bCs w:val="0"/>
          <w:snapToGrid w:val="0"/>
          <w:color w:val="auto"/>
          <w:kern w:val="0"/>
          <w:sz w:val="32"/>
          <w:szCs w:val="32"/>
          <w:highlight w:val="none"/>
          <w:lang w:val="en-US" w:eastAsia="zh-CN"/>
        </w:rPr>
        <w:t>（二）绩效自评结果拟公开情况</w:t>
      </w:r>
      <w:r>
        <w:rPr>
          <w:rFonts w:hint="eastAsia" w:ascii="楷体_GB2312" w:hAnsi="楷体_GB2312" w:eastAsia="楷体_GB2312" w:cs="楷体_GB2312"/>
          <w:b w:val="0"/>
          <w:bCs w:val="0"/>
          <w:snapToGrid w:val="0"/>
          <w:color w:val="auto"/>
          <w:kern w:val="0"/>
          <w:sz w:val="32"/>
          <w:szCs w:val="32"/>
          <w:highlight w:val="none"/>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default" w:ascii="Times New Roman" w:hAnsi="Times New Roman" w:eastAsia="仿宋_GB2312" w:cs="Times New Roman"/>
          <w:bCs/>
          <w:snapToGrid w:val="0"/>
          <w:color w:val="auto"/>
          <w:sz w:val="32"/>
          <w:szCs w:val="32"/>
          <w:highlight w:val="none"/>
          <w:lang w:val="en-US" w:eastAsia="zh-CN"/>
        </w:rPr>
      </w:pPr>
      <w:r>
        <w:rPr>
          <w:rFonts w:hint="default" w:ascii="Times New Roman" w:hAnsi="Times New Roman" w:cs="Times New Roman"/>
          <w:bCs/>
          <w:snapToGrid w:val="0"/>
          <w:color w:val="auto"/>
          <w:sz w:val="32"/>
          <w:szCs w:val="32"/>
          <w:highlight w:val="none"/>
          <w:lang w:val="en-US" w:eastAsia="zh-CN"/>
        </w:rPr>
        <w:t>按政府信息公开要求，</w:t>
      </w:r>
      <w:r>
        <w:rPr>
          <w:rFonts w:hint="default" w:ascii="Times New Roman" w:hAnsi="Times New Roman" w:eastAsia="仿宋_GB2312" w:cs="Times New Roman"/>
          <w:bCs/>
          <w:snapToGrid w:val="0"/>
          <w:color w:val="auto"/>
          <w:sz w:val="32"/>
          <w:szCs w:val="32"/>
          <w:highlight w:val="none"/>
          <w:lang w:val="en-US" w:eastAsia="zh-CN"/>
        </w:rPr>
        <w:t>本绩效自评报告拟在广东省卫生健康委门户网站</w:t>
      </w:r>
      <w:r>
        <w:rPr>
          <w:rFonts w:hint="default" w:ascii="Times New Roman" w:hAnsi="Times New Roman" w:cs="Times New Roman"/>
          <w:bCs/>
          <w:snapToGrid w:val="0"/>
          <w:color w:val="auto"/>
          <w:sz w:val="32"/>
          <w:szCs w:val="32"/>
          <w:highlight w:val="none"/>
          <w:lang w:val="en-US" w:eastAsia="zh-CN"/>
        </w:rPr>
        <w:t>（http://wsjkw.gd.gov.cn/)主动</w:t>
      </w:r>
      <w:r>
        <w:rPr>
          <w:rFonts w:hint="default" w:ascii="Times New Roman" w:hAnsi="Times New Roman" w:eastAsia="仿宋_GB2312" w:cs="Times New Roman"/>
          <w:bCs/>
          <w:snapToGrid w:val="0"/>
          <w:color w:val="auto"/>
          <w:sz w:val="32"/>
          <w:szCs w:val="32"/>
          <w:highlight w:val="none"/>
          <w:lang w:val="en-US" w:eastAsia="zh-CN"/>
        </w:rPr>
        <w:t>公示，</w:t>
      </w:r>
      <w:r>
        <w:rPr>
          <w:rFonts w:hint="default" w:ascii="Times New Roman" w:hAnsi="Times New Roman" w:cs="Times New Roman"/>
          <w:bCs/>
          <w:snapToGrid w:val="0"/>
          <w:color w:val="auto"/>
          <w:sz w:val="32"/>
          <w:szCs w:val="32"/>
          <w:highlight w:val="none"/>
          <w:lang w:val="en-US" w:eastAsia="zh-CN"/>
        </w:rPr>
        <w:t>自觉接受</w:t>
      </w:r>
      <w:r>
        <w:rPr>
          <w:rFonts w:hint="default" w:ascii="Times New Roman" w:hAnsi="Times New Roman" w:eastAsia="仿宋_GB2312" w:cs="Times New Roman"/>
          <w:bCs/>
          <w:snapToGrid w:val="0"/>
          <w:color w:val="auto"/>
          <w:sz w:val="32"/>
          <w:szCs w:val="32"/>
          <w:highlight w:val="none"/>
          <w:lang w:val="en-US" w:eastAsia="zh-CN"/>
        </w:rPr>
        <w:t>社会</w:t>
      </w:r>
      <w:r>
        <w:rPr>
          <w:rFonts w:hint="default" w:ascii="Times New Roman" w:hAnsi="Times New Roman" w:cs="Times New Roman"/>
          <w:bCs/>
          <w:snapToGrid w:val="0"/>
          <w:color w:val="auto"/>
          <w:sz w:val="32"/>
          <w:szCs w:val="32"/>
          <w:highlight w:val="none"/>
          <w:lang w:val="en-US" w:eastAsia="zh-CN"/>
        </w:rPr>
        <w:t>及公众</w:t>
      </w:r>
      <w:r>
        <w:rPr>
          <w:rFonts w:hint="default" w:ascii="Times New Roman" w:hAnsi="Times New Roman" w:eastAsia="仿宋_GB2312" w:cs="Times New Roman"/>
          <w:bCs/>
          <w:snapToGrid w:val="0"/>
          <w:color w:val="auto"/>
          <w:sz w:val="32"/>
          <w:szCs w:val="32"/>
          <w:highlight w:val="none"/>
          <w:lang w:val="en-US" w:eastAsia="zh-CN"/>
        </w:rPr>
        <w:t>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lang w:val="en-US" w:eastAsia="zh-CN"/>
        </w:rPr>
        <w:t>六</w:t>
      </w:r>
      <w:r>
        <w:rPr>
          <w:rFonts w:hint="default" w:ascii="Times New Roman" w:hAnsi="Times New Roman" w:eastAsia="黑体" w:cs="Times New Roman"/>
          <w:bCs/>
          <w:snapToGrid w:val="0"/>
          <w:color w:val="auto"/>
          <w:sz w:val="32"/>
          <w:szCs w:val="32"/>
          <w:highlight w:val="none"/>
        </w:rPr>
        <w:t>、其他需要说明的问题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无</w:t>
      </w:r>
    </w:p>
    <w:p>
      <w:pPr>
        <w:pStyle w:val="7"/>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snapToGrid w:val="0"/>
          <w:color w:val="auto"/>
          <w:sz w:val="32"/>
          <w:szCs w:val="32"/>
          <w:highlight w:val="none"/>
          <w:lang w:val="en-US" w:eastAsia="zh-CN"/>
        </w:rPr>
      </w:pPr>
    </w:p>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1600" w:leftChars="200" w:right="0" w:hanging="960" w:hangingChars="300"/>
        <w:jc w:val="left"/>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rPr>
        <w:t>附</w:t>
      </w:r>
      <w:r>
        <w:rPr>
          <w:rFonts w:hint="default" w:ascii="Times New Roman" w:hAnsi="Times New Roman" w:cs="Times New Roman"/>
          <w:b w:val="0"/>
          <w:bCs w:val="0"/>
          <w:snapToGrid w:val="0"/>
          <w:color w:val="auto"/>
          <w:sz w:val="32"/>
          <w:szCs w:val="32"/>
          <w:highlight w:val="none"/>
          <w:lang w:eastAsia="zh-CN"/>
        </w:rPr>
        <w:t>表</w:t>
      </w:r>
      <w:r>
        <w:rPr>
          <w:rFonts w:hint="default" w:ascii="Times New Roman" w:hAnsi="Times New Roman" w:eastAsia="仿宋_GB2312" w:cs="Times New Roman"/>
          <w:b w:val="0"/>
          <w:bCs w:val="0"/>
          <w:snapToGrid w:val="0"/>
          <w:color w:val="auto"/>
          <w:sz w:val="32"/>
          <w:szCs w:val="32"/>
          <w:highlight w:val="none"/>
          <w:lang w:eastAsia="zh-CN"/>
        </w:rPr>
        <w:t>：2022年度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中央对地方专项转移支付区域</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（项目）</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绩效目标</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自评</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表（略）</w:t>
      </w:r>
    </w:p>
    <w:p>
      <w:pPr>
        <w:keepNext w:val="0"/>
        <w:keepLines w:val="0"/>
        <w:pageBreakBefore w:val="0"/>
        <w:kinsoku/>
        <w:wordWrap/>
        <w:overflowPunct/>
        <w:topLinePunct w:val="0"/>
        <w:autoSpaceDE/>
        <w:autoSpaceDN/>
        <w:bidi w:val="0"/>
        <w:adjustRightInd/>
        <w:spacing w:line="300" w:lineRule="exact"/>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headerReference r:id="rId4" w:type="first"/>
          <w:footerReference r:id="rId6" w:type="first"/>
          <w:headerReference r:id="rId3" w:type="default"/>
          <w:footerReference r:id="rId5" w:type="default"/>
          <w:pgSz w:w="11905" w:h="16838"/>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4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agYAdUAAAAHAQAADwAAAAAAAAABACAAAAAiAAAA&#10;ZHJzL2Rvd25yZXYueG1sUEsBAhQAFAAAAAgAh07iQCyUNvDRAQAAogMAAA4AAAAAAAAAAQAgAAAA&#10;JAEAAGRycy9lMm9Eb2MueG1sUEsFBgAAAAAGAAYAWQEAAGcFAAAAAA==&#10;">
              <v:path/>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14"/>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14"/>
                              <w:rFonts w:hint="eastAsia" w:ascii="仿宋_GB2312" w:hAnsi="仿宋_GB2312" w:eastAsia="仿宋_GB2312"/>
                              <w:sz w:val="28"/>
                            </w:rPr>
                            <w:t>- 2 -</w:t>
                          </w:r>
                          <w:r>
                            <w:rPr>
                              <w:rFonts w:hint="eastAsia" w:ascii="仿宋_GB2312" w:hAnsi="仿宋_GB2312" w:eastAsia="仿宋_GB2312"/>
                              <w:sz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60288;mso-width-relative:page;mso-height-relative:page;" filled="f" stroked="f" coordsize="21600,21600" o:gfxdata="UEsDBAoAAAAAAIdO4kAAAAAAAAAAAAAAAAAEAAAAZHJzL1BLAwQUAAAACACHTuJAfzG6WN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fqQgWB3kee82F+H&#10;bAmyKuV//uoX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8xuljXAAAABwEAAA8AAAAAAAAAAQAgAAAAIgAA&#10;AGRycy9kb3ducmV2LnhtbFBLAQIUABQAAAAIAIdO4kBgcnE80AEAAKMDAAAOAAAAAAAAAAEAIAAA&#10;ACYBAABkcnMvZTJvRG9jLnhtbFBLBQYAAAAABgAGAFkBAABoBQAAAAA=&#10;">
              <v:path/>
              <v:fill on="f" focussize="0,0"/>
              <v:stroke on="f" weight="1.25pt"/>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14"/>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14"/>
                        <w:rFonts w:hint="eastAsia" w:ascii="仿宋_GB2312" w:hAnsi="仿宋_GB2312" w:eastAsia="仿宋_GB2312"/>
                        <w:sz w:val="28"/>
                      </w:rPr>
                      <w:t>- 2 -</w:t>
                    </w:r>
                    <w:r>
                      <w:rPr>
                        <w:rFonts w:hint="eastAsia" w:ascii="仿宋_GB2312" w:hAnsi="仿宋_GB2312" w:eastAsia="仿宋_GB2312"/>
                        <w:sz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4DF85C9E"/>
    <w:rsid w:val="4DF8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4">
    <w:name w:val="heading 3"/>
    <w:basedOn w:val="1"/>
    <w:next w:val="1"/>
    <w:unhideWhenUsed/>
    <w:qFormat/>
    <w:uiPriority w:val="0"/>
    <w:pPr>
      <w:keepNext/>
      <w:keepLines/>
      <w:spacing w:line="590" w:lineRule="exact"/>
      <w:jc w:val="left"/>
      <w:outlineLvl w:val="2"/>
    </w:pPr>
    <w:rPr>
      <w:rFonts w:ascii="Calibri" w:hAnsi="Calibri" w:eastAsia="仿宋_GB2312" w:cs="Times New Roman"/>
      <w:b/>
      <w:sz w:val="32"/>
      <w:lang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Plain Text"/>
    <w:basedOn w:val="1"/>
    <w:unhideWhenUsed/>
    <w:qFormat/>
    <w:uiPriority w:val="99"/>
    <w:rPr>
      <w:rFonts w:ascii="宋体" w:hAnsi="Courier New" w:eastAsia="宋体" w:cs="Courier New"/>
      <w:sz w:val="32"/>
      <w:szCs w:val="21"/>
      <w:lang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lang w:bidi="ar-SA"/>
    </w:rPr>
  </w:style>
  <w:style w:type="paragraph" w:styleId="10">
    <w:name w:val="Body Text First Indent 2"/>
    <w:basedOn w:val="5"/>
    <w:next w:val="1"/>
    <w:qFormat/>
    <w:uiPriority w:val="0"/>
    <w:pPr>
      <w:spacing w:line="360" w:lineRule="auto"/>
    </w:pPr>
    <w:rPr>
      <w:rFonts w:eastAsia="宋体"/>
      <w:sz w:val="24"/>
    </w:rPr>
  </w:style>
  <w:style w:type="character" w:styleId="13">
    <w:name w:val="Strong"/>
    <w:basedOn w:val="12"/>
    <w:qFormat/>
    <w:uiPriority w:val="0"/>
    <w:rPr>
      <w:rFonts w:ascii="Times New Roman" w:hAnsi="Times New Roman" w:eastAsia="宋体" w:cs="Times New Roman"/>
      <w:b/>
    </w:rPr>
  </w:style>
  <w:style w:type="character" w:styleId="14">
    <w:name w:val="page number"/>
    <w:basedOn w:val="12"/>
    <w:qFormat/>
    <w:uiPriority w:val="0"/>
    <w:rPr>
      <w:rFonts w:ascii="Times New Roman" w:hAnsi="Times New Roman" w:eastAsia="宋体" w:cs="Times New Roman"/>
    </w:rPr>
  </w:style>
  <w:style w:type="character" w:styleId="15">
    <w:name w:val="Hyperlink"/>
    <w:basedOn w:val="12"/>
    <w:qFormat/>
    <w:uiPriority w:val="0"/>
    <w:rPr>
      <w:rFonts w:ascii="Times New Roman" w:hAnsi="Times New Roman" w:eastAsia="宋体" w:cs="Times New Roman"/>
      <w:color w:val="0000FF"/>
      <w:u w:val="single"/>
    </w:rPr>
  </w:style>
  <w:style w:type="character" w:customStyle="1" w:styleId="16">
    <w:name w:val="font61"/>
    <w:basedOn w:val="12"/>
    <w:qFormat/>
    <w:uiPriority w:val="0"/>
    <w:rPr>
      <w:rFonts w:hint="eastAsia" w:ascii="宋体" w:hAnsi="宋体" w:eastAsia="宋体" w:cs="宋体"/>
      <w:color w:val="FF0000"/>
      <w:sz w:val="20"/>
      <w:szCs w:val="20"/>
      <w:u w:val="none"/>
    </w:rPr>
  </w:style>
  <w:style w:type="character" w:customStyle="1" w:styleId="17">
    <w:name w:val="font21"/>
    <w:basedOn w:val="12"/>
    <w:qFormat/>
    <w:uiPriority w:val="0"/>
    <w:rPr>
      <w:rFonts w:hint="default" w:ascii="Times New Roman" w:hAnsi="Times New Roman" w:eastAsia="宋体" w:cs="Times New Roman"/>
      <w:color w:val="000000"/>
      <w:sz w:val="22"/>
      <w:szCs w:val="22"/>
      <w:u w:val="none"/>
    </w:rPr>
  </w:style>
  <w:style w:type="character" w:customStyle="1" w:styleId="18">
    <w:name w:val="font01"/>
    <w:basedOn w:val="12"/>
    <w:qFormat/>
    <w:uiPriority w:val="0"/>
    <w:rPr>
      <w:rFonts w:hint="default" w:ascii="Times New Roman" w:hAnsi="Times New Roman" w:eastAsia="宋体"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2023-07-04T03:23:00Z</dcterms:created>
  <dc:creator>西门</dc:creator>
  <cp:lastModifiedBy>西门</cp:lastModifiedBy>
  <dcterms:modified xsi:type="dcterms:W3CDTF">2023-07-04T03:24:14Z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3DE9E276474045CFB112739872BC67A7_11</vt:lpwstr>
  </property>
</Properties>
</file>