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left="0" w:firstLine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 w:val="0"/>
        <w:topLinePunct w:val="0"/>
        <w:autoSpaceDE w:val="0"/>
        <w:autoSpaceDN/>
        <w:bidi w:val="0"/>
        <w:adjustRightInd/>
        <w:snapToGrid/>
        <w:spacing w:before="0" w:beforeLines="0" w:after="0" w:afterLines="0" w:line="700" w:lineRule="exact"/>
        <w:ind w:left="0" w:firstLine="0"/>
        <w:jc w:val="center"/>
        <w:textAlignment w:val="baseline"/>
        <w:rPr>
          <w:rFonts w:hint="default" w:ascii="Times New Roman" w:hAnsi="Times New Roman" w:eastAsia="方正小标宋简体" w:cs="Times New Roman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基层卫生健康便民惠民服务</w:t>
      </w:r>
      <w:r>
        <w:rPr>
          <w:rFonts w:hint="eastAsia" w:ascii="方正小标宋简体" w:hAnsi="方正小标宋简体" w:eastAsia="方正小标宋简体" w:cs="方正小标宋简体"/>
          <w:i w:val="0"/>
          <w:snapToGrid/>
          <w:kern w:val="21"/>
          <w:sz w:val="44"/>
          <w:szCs w:val="44"/>
          <w:u w:val="none"/>
          <w:lang w:val="en-US" w:eastAsia="zh-CN" w:bidi="ar"/>
        </w:rPr>
        <w:t>落实年度进展</w:t>
      </w:r>
      <w:r>
        <w:rPr>
          <w:rFonts w:hint="default" w:ascii="Times New Roman" w:hAnsi="Times New Roman" w:eastAsia="方正小标宋简体" w:cs="Times New Roman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表</w:t>
      </w:r>
      <w:bookmarkEnd w:id="0"/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snapToGrid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snapToGrid w:val="0"/>
          <w:color w:val="000000"/>
          <w:kern w:val="0"/>
          <w:sz w:val="28"/>
          <w:szCs w:val="28"/>
          <w:u w:val="none"/>
          <w:lang w:val="en-US" w:eastAsia="zh-CN" w:bidi="ar"/>
        </w:rPr>
        <w:t>地市：      联系人及手机号码：            填报日期：</w:t>
      </w:r>
    </w:p>
    <w:tbl>
      <w:tblPr>
        <w:tblStyle w:val="5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6849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20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工作事项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本地区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  <w:lang w:bidi="ar"/>
              </w:rPr>
              <w:t>二、三级医院数量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本地区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基层医疗卫生机构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（乡镇卫生院、社区卫生服务中心）数量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辖区内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预留至少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0%的门诊号源优先向辖区基层医疗卫生机构开放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级医院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数量（间）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每周至少3个工作日有一名主治医师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职称临床专业技术人员在门诊值守服务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基层医疗卫生机构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数量（间）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可开具长处方的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基层医疗卫生机构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已实现家庭医生服务进网格、进功能社区的基层医疗卫生机构数（间）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提供延时服务或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在节假日、周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等增加门诊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（含接种门诊）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服务时间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已推行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“先诊疗、后结算”一站式服务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已提供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运动、饮食处方或建议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的基层医疗卫生机构数（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门诊公共卫生间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能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做到“两有一无”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826" w:leftChars="260" w:right="0" w:rightChars="0" w:hanging="280" w:hangingChars="1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备注：</w:t>
      </w:r>
      <w:r>
        <w:rPr>
          <w:rFonts w:hint="default" w:ascii="仿宋_GB2312" w:hAnsi="仿宋_GB2312" w:eastAsia="仿宋_GB2312" w:cs="仿宋_GB2312"/>
          <w:color w:val="auto"/>
          <w:kern w:val="21"/>
          <w:sz w:val="28"/>
          <w:szCs w:val="28"/>
          <w:lang w:val="en-US" w:eastAsia="zh-CN" w:bidi="ar-SA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表以地市为单位上报，每年1月10日之前报我委基层处邮箱：</w:t>
      </w:r>
      <w:r>
        <w:rPr>
          <w:rStyle w:val="7"/>
          <w:rFonts w:hint="default" w:ascii="Times New Roman" w:hAnsi="Times New Roman" w:eastAsia="仿宋_GB2312" w:cs="Times New Roman"/>
          <w:snapToGrid/>
          <w:color w:val="auto"/>
          <w:kern w:val="2"/>
          <w:sz w:val="28"/>
          <w:szCs w:val="28"/>
        </w:rPr>
        <w:t>wsjkw_jcc@gd.gov.cn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</w:p>
    <w:p>
      <w:pPr>
        <w:ind w:firstLine="640"/>
        <w:rPr>
          <w:rFonts w:hint="default" w:ascii="仿宋_GB2312" w:eastAsia="仿宋_GB2312"/>
          <w:snapToGrid w:val="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B2D72"/>
    <w:rsid w:val="317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napToGrid w:val="0"/>
      <w:kern w:val="0"/>
      <w:sz w:val="32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napToGrid w:val="0"/>
      <w:kern w:val="0"/>
      <w:sz w:val="24"/>
      <w:szCs w:val="32"/>
      <w:lang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 w:cs="Times New Roman"/>
      <w:color w:val="000000"/>
      <w:sz w:val="20"/>
      <w:szCs w:val="20"/>
      <w:u w:val="none"/>
    </w:rPr>
  </w:style>
  <w:style w:type="paragraph" w:customStyle="1" w:styleId="8">
    <w:name w:val="附录章标题"/>
    <w:next w:val="9"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9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Calibri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2023-09-01T01:54:00Z</dcterms:created>
  <dc:creator>chenjia</dc:creator>
  <cp:lastModifiedBy>chenjia</cp:lastModifiedBy>
  <dcterms:modified xsi:type="dcterms:W3CDTF">2023-09-01T01:55:06Z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