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 w:val="0"/>
          <w:color w:val="000000"/>
          <w:kern w:val="0"/>
          <w:sz w:val="36"/>
          <w:szCs w:val="36"/>
          <w:highlight w:val="none"/>
          <w:u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 w:val="0"/>
          <w:color w:val="000000"/>
          <w:kern w:val="0"/>
          <w:sz w:val="36"/>
          <w:szCs w:val="36"/>
          <w:highlight w:val="none"/>
          <w:u w:val="none"/>
          <w:shd w:val="clear" w:color="auto" w:fill="FFFFFF"/>
          <w:lang w:val="en-US" w:eastAsia="zh-CN" w:bidi="ar"/>
        </w:rPr>
        <w:t>采集临床数据专业目录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57"/>
        <w:gridCol w:w="2565"/>
        <w:gridCol w:w="3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Style w:val="6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 w:bidi="ar"/>
              </w:rPr>
              <w:t>临床数据提取系统内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Style w:val="6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 w:bidi="ar"/>
              </w:rPr>
              <w:t>对应我省评审专业名称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心血管内科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呼吸内科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肾内科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肾内科学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神经内科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内分泌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内分泌学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血液病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血液病学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传染病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传染病学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风湿病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风湿与临床免疫学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普通外科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普通外科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骨外科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骨外科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胸心外科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胸心外科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神经外科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泌尿外科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烧伤外科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烧伤外科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整形外科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整形外科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小儿外科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小儿外科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妇产科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妇产科、妇科（含妇科肿瘤）、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产科、生殖医学（含遗传咨询）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小儿内科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小儿内科、新生儿科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口腔医学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口腔全科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口腔内科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口腔内科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</w:p>
        </w:tc>
        <w:tc>
          <w:tcPr>
            <w:tcW w:w="2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口腔颌面外科</w:t>
            </w:r>
          </w:p>
        </w:tc>
        <w:tc>
          <w:tcPr>
            <w:tcW w:w="3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口腔颌面外科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</w:t>
            </w:r>
          </w:p>
        </w:tc>
        <w:tc>
          <w:tcPr>
            <w:tcW w:w="2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口腔修复</w:t>
            </w:r>
          </w:p>
        </w:tc>
        <w:tc>
          <w:tcPr>
            <w:tcW w:w="3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口腔修复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5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</w:t>
            </w:r>
          </w:p>
        </w:tc>
        <w:tc>
          <w:tcPr>
            <w:tcW w:w="256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口腔正畸</w:t>
            </w:r>
          </w:p>
        </w:tc>
        <w:tc>
          <w:tcPr>
            <w:tcW w:w="332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口腔正畸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眼科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耳鼻喉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(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头颈外科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皮肤与性病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肿瘤内科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肿瘤内科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肿瘤外科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肿瘤外科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放射肿瘤治疗学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肿瘤放射治疗学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康复医学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康复医学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护理学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护理学、助产学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普通内科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结核病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结核病学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老年医学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老年病学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职业病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职业病学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计划生育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计划生育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精神病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精神病学（含心理卫生）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全科医学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全科医学（临床类别）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2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中西医结合医学</w:t>
            </w:r>
          </w:p>
        </w:tc>
        <w:tc>
          <w:tcPr>
            <w:tcW w:w="3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2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3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中医妇科</w:t>
            </w:r>
          </w:p>
        </w:tc>
        <w:tc>
          <w:tcPr>
            <w:tcW w:w="3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5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256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中医儿科</w:t>
            </w:r>
          </w:p>
        </w:tc>
        <w:tc>
          <w:tcPr>
            <w:tcW w:w="332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中医皮肤科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中医肛肠科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中医肛肠科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按摩推拿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中医五官科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中医五官科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中医治未病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中医治未病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全科医学（中医类别）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全科医学（中医类别）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在《申报人员信息自然表》中的“申报专业”栏填写本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目录中的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临床数据提取系统内专业名称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”列对应的专业名称。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本目录以外的评审专业暂不需采集技术能力维度的评价指标数</w:t>
      </w:r>
    </w:p>
    <w:p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据。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51FEF"/>
    <w:rsid w:val="4F4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5"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2024-03-13T09:05:00Z</dcterms:created>
  <dc:creator>chenjia</dc:creator>
  <cp:lastModifiedBy>chenjia</cp:lastModifiedBy>
  <dcterms:modified xsi:type="dcterms:W3CDTF">2024-03-13T09:05:50Z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