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2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20"/>
        <w:gridCol w:w="2367"/>
        <w:gridCol w:w="936"/>
        <w:gridCol w:w="606"/>
        <w:gridCol w:w="398"/>
        <w:gridCol w:w="890"/>
        <w:gridCol w:w="832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中央对地方转移支付区域绩效目标表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8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公立医院改革与高质量发展示范项目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中央主管部门</w:t>
            </w:r>
          </w:p>
        </w:tc>
        <w:tc>
          <w:tcPr>
            <w:tcW w:w="74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国家卫生健康委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、国家财政部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省级财政部门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广东省财政厅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省级主管部门</w:t>
            </w:r>
          </w:p>
        </w:tc>
        <w:tc>
          <w:tcPr>
            <w:tcW w:w="3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广东省卫生健康委、广东省中医药局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资金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情况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年度金额：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37,461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其中：中央补助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20,000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地方补助</w:t>
            </w:r>
          </w:p>
        </w:tc>
        <w:tc>
          <w:tcPr>
            <w:tcW w:w="5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17,461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总体目标</w:t>
            </w: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居民健康水平达到新高度。健康服务水平和质量迈上新台阶。医务人员积极性得到新提升。</w:t>
            </w:r>
          </w:p>
        </w:tc>
        <w:tc>
          <w:tcPr>
            <w:tcW w:w="4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全市医疗救治能力稳步提升。优质医疗资源总量供给扩面提质。深化人事薪酬制度改革。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指标值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2023年数值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指标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医疗服务收入（不含药品、耗材、检查、化验收入）占公立医院医疗收入的比例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≥29%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30.82%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按病种付费（DRG、DIP、单病种）的住院参保人员数占公立医院总住院参保人员数的比例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≥99.6%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本市财政卫生健康支出预算执行率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≥98.95%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126.69%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三级公立医院门诊人次数与出院人次数比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＜26.5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市县两级由党委和政府主要负责同志（双组长）或其中一位主要负责同志任医改领导小组组长的比例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市县两级由一位政府负责同志统一分管医疗、医保、医药工作的比例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实行党委领导下的院长负责制的公立医院比例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三级公立医院病例组合指数（CMI值）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≥1.15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2023年数据统计中，2022年数据为1.29。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三级公立医院出院患者四级手术比例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≥17.2%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25.13%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参与同级检查结果互认的公立医院占比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≥99%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99.63%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三级公立医院平均住院日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＜7.1天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7.08天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实现收支平衡的公立医院占比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≥78%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68.91%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原因：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医院业务收入较疫情前同期水平降低，管理费用需正常开支，导致管理费用占比增加。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改进措施：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开展公立医疗机构经济管理年活动，加强成本控制和精细管理，促进降本增效。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管理费用占公立医院费用总额的比重</w:t>
            </w:r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＜10.1％</w:t>
            </w:r>
          </w:p>
        </w:tc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13.49%</w:t>
            </w:r>
          </w:p>
        </w:tc>
        <w:tc>
          <w:tcPr>
            <w:tcW w:w="1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同上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公立医院门诊和住院次均费用增幅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＜10％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门诊1.88%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住院-7.08%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无基本建设和设备购置非流动负债的公立医院占比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≥98%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94.59%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原因：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个别区属医院还有基本建设和设备购置非流动负债。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改进措施：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加强公立医院发展的统筹规划，助力公立医院良性运营。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建立医疗服务价格动态调整机制的公立医院比例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合理确定并动态调整薪酬的公立医院比例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≥97%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公立医院薪酬中稳定收入的比例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≥24.5%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eastAsia="zh-CN" w:bidi="ar"/>
              </w:rPr>
              <w:t>指标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县域内住院量占比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≥99.7%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99.7%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基层医疗卫生机构诊疗量占总诊疗量的比例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≥32.3%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34.03%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snapToGrid w:val="0"/>
                <w:sz w:val="18"/>
                <w:szCs w:val="18"/>
                <w:lang w:val="en-US" w:eastAsia="zh-CN" w:bidi="ar"/>
              </w:rPr>
              <w:t>指标</w:t>
            </w: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公立医院门诊和住院患者满意度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≥87分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门诊89.29分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住院89.02分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公立医院医务人员满意度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≥89.5分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90.59分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7BCD"/>
    <w:rsid w:val="0F7C4109"/>
    <w:rsid w:val="24F149C3"/>
    <w:rsid w:val="35852244"/>
    <w:rsid w:val="38622A11"/>
    <w:rsid w:val="63915734"/>
    <w:rsid w:val="73B47BCD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lang w:val="en-US" w:eastAsia="zh-CN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2024-05-08T07:52:00Z</dcterms:created>
  <dc:creator>LINNN000</dc:creator>
  <cp:lastModifiedBy>LINNN000</cp:lastModifiedBy>
  <dcterms:modified xsi:type="dcterms:W3CDTF">2024-05-08T07:53:19Z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