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497"/>
          <w:tab w:val="left" w:pos="7637"/>
          <w:tab w:val="left" w:pos="8717"/>
          <w:tab w:val="left" w:pos="9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</w:rPr>
        <w:t>附件2</w:t>
      </w: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年广东省各定点院校订单定向医学生招生计划表</w:t>
      </w:r>
    </w:p>
    <w:bookmarkEnd w:id="0"/>
    <w:p>
      <w:pPr>
        <w:pStyle w:val="3"/>
        <w:rPr>
          <w:rFonts w:hint="default"/>
        </w:rPr>
      </w:pPr>
    </w:p>
    <w:tbl>
      <w:tblPr>
        <w:tblStyle w:val="6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164"/>
        <w:gridCol w:w="964"/>
        <w:gridCol w:w="996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招生院校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定向就业地区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汕头（37人）、韶关（15人）、河源（21人）、梅州（21人）、汕尾（10人）、湛江（35人）、茂名（25人）、清远（12人）、揭阳（57人）、江门（6人）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汕头（54人）、汕尾（城区2人、海丰县14人、红海湾开发区1人、华侨管理区1人）、揭阳（榕城区21人、普宁市38人、揭西县23人、惠来县25人）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梅州（梅江区8人、梅县区11人、蕉岭县4人）、惠州（惠城区1人、博罗县15人、大亚湾区1人、仲恺区2人）、湛江（100人）、茂名（100人）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河源（源城区12人、和平县7人、紫金县4人）、云浮（56人）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惠州（27人）、阳江（18人）、肇庆（21人）、潮州（32人）、云浮（19人）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韶关（49人）、惠州（惠阳区4人、惠东县10人、龙门县10人）、清远（20人）、潮州（96人）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韶关（36人）、河源（65人）、梅州（93人）、阳江（16人）、云浮（28人）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东源县14人、连平县3人、龙川县12人）、梅州（兴宁市13人、平远县5人、大埔县8人、丰顺县13人、五华县22人）、汕尾（陆丰市24人、陆河县8人）、阳江（17人）、肇庆（33人）、揭阳（揭东区19人）、江门（34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湛江（廉江市19人、遂溪县16人、吴川市15人、雷州市5人）、肇庆（13人）、清远（52人）、揭阳（133人）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韶关（13人）、阳江（12人）、茂名（26人）、肇庆（10人）、潮州（20人）、云浮（34人）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汕头（31人）、汕尾（40人）、江门（19人）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汕头（22人）、梅州（27人）、湛江（72人）、江门（9人）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河源（31人）、惠州（22人）、汕尾（19人）、清远（24人）、揭阳（84人）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惠州（14人）、茂名（43人）、潮州（43人）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湛江（雷州市12人、徐闻县18人）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注：与经费下达文件招生数不一致的，按此表执行，经费于次年度予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04" w:firstLineChars="4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</w:rPr>
        <w:t>以结算。</w:t>
      </w:r>
    </w:p>
    <w:p>
      <w:pPr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638"/>
    <w:rsid w:val="567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Cs w:val="24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2024-05-30T06:31:00Z</dcterms:created>
  <dc:creator>chenjia</dc:creator>
  <cp:lastModifiedBy>chenjia</cp:lastModifiedBy>
  <dcterms:modified xsi:type="dcterms:W3CDTF">2024-05-30T06:31:51Z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