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val="en-US" w:eastAsia="zh-CN"/>
        </w:rPr>
        <w:t>首批设置的省级质控中心清单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375"/>
        <w:gridCol w:w="2079"/>
        <w:gridCol w:w="4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具体方向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临床类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临床专科领域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呼吸内科专业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消化内科专业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血液内科专业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肾病学专业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内分泌专业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免疫学专业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老年医学专业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普通外科专业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骨科专业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泌尿外科专业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胸外科专业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烧伤科专业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整形美容专业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精神医学专业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妇科专业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产科专业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儿科及小儿外科专业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眼科专业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耳鼻咽喉科专业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口腔医学专业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皮肤病专业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性传播疾病专业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感染性疾病专业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急诊医学专业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康复医学专业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运动医学专业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疼痛专业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重症医学专业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新生儿专业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临床营养专业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乳腺科专业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甲状腺专业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健康体检与管理专业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  <w:t>中医临床领域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中医妇科专业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中医儿科专业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中医老年病专业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中医针灸专业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中医推拿专业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中医康复专业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中医肛肠专业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中医治未病服务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重点技术领域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肺脏移植技术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肝脏移植技术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肾脏移植技术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脑损伤评价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人体捐献器官获取与分配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结构性心脏病介入技术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外周血管介入技术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心律失常介入技术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冠心病介入技术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消化内镜技术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微创脊柱内镜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人类辅助生殖技术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重大疾病领域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心血管系统疾病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神经内科系统疾病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神经外科系统疾病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肿瘤性疾病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创伤性疾病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职业病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罕见病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结核病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艾滋病及丙肝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胸痛疾病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医技类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平台专科和检查检验领域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中医护理管理专业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药事管理专业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中药药事管理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临床检验专业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临床基因检测专业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超声诊断专业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放射影像专业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核医学专业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高压氧专业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医院消毒供应专业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血液安全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临床用血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耐药菌监测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医疗管理领域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门诊管理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医院管理评价专业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省限制临床应用医疗技术管理专业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中医病案管理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电子病历管理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院前急救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日间医疗管理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医院感染管理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中医医院感染管理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手术室管理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互联网医疗管理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医院运行领域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医学信息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注：根据国家质控中心设置清单、质控工作需要和既往质控中心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设置情况，首批规划设置的质控中心专业领域和工作方向分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为3大类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个领域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个具体方向。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C4A5B48"/>
    <w:rsid w:val="5C4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2024-06-21T03:11:00Z</dcterms:created>
  <dc:creator>邻家的小胖妞</dc:creator>
  <cp:lastModifiedBy>邻家的小胖妞</cp:lastModifiedBy>
  <dcterms:modified xsi:type="dcterms:W3CDTF">2024-06-21T03:12:17Z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C63A15465E6E40FCAFE0A4B52EABD575_11</vt:lpwstr>
  </property>
</Properties>
</file>