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bidi="ar-SA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" w:eastAsia="zh-CN" w:bidi="ar-SA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bidi="ar-SA"/>
        </w:rPr>
        <w:t>年“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国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bidi="ar-SA"/>
        </w:rPr>
        <w:t>基药粤健康”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临床合理用药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职业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技能复赛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决赛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流程</w:t>
      </w:r>
    </w:p>
    <w:bookmarkEnd w:id="0"/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9" w:hRule="atLeast"/>
          <w:jc w:val="center"/>
        </w:trPr>
        <w:tc>
          <w:tcPr>
            <w:tcW w:w="9060" w:type="dxa"/>
            <w:noWrap w:val="0"/>
            <w:vAlign w:val="center"/>
          </w:tcPr>
          <w:tbl>
            <w:tblPr>
              <w:tblStyle w:val="4"/>
              <w:tblW w:w="906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1"/>
              <w:gridCol w:w="7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  <w:jc w:val="center"/>
              </w:trPr>
              <w:tc>
                <w:tcPr>
                  <w:tcW w:w="9060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28"/>
                      <w:szCs w:val="28"/>
                    </w:rPr>
                    <w:t>一、复赛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  <w:t>（21个参赛队提前通过抽签方式确定参赛顺序</w:t>
                  </w: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28"/>
                      <w:szCs w:val="2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411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日下午</w:t>
                  </w: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  <w:u w:val="none"/>
                    </w:rPr>
                    <w:t>经典案例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</w:rPr>
                    <w:t>应与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推进落实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</w:rPr>
                    <w:t>国家基本药物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制度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</w:rPr>
                    <w:t>相关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，可以为区域行政层面推进实施国家基本药物制度经验；亦可为医疗机构层面推动落实国家基本药物优先配备使用经验等。做到与中心大局贴近，具有前瞻性、开创性、引领性；经实践检验并行之有效，绩效突出；可行性强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</w:rPr>
                    <w:t>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可借鉴、可复制、可推广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</w:rPr>
                    <w:t>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由各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地级以上市评选推荐1个参赛案例填报2024年《全省“国基药粤健康”经典案例申报表》，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组委会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赛前组织专家评审，评审结果公示７天后无异议，分数纳入复赛团队总分。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项目总分为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20分</w:t>
                  </w:r>
                  <w:r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u w:val="none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5" w:hRule="atLeast"/>
                <w:jc w:val="center"/>
              </w:trPr>
              <w:tc>
                <w:tcPr>
                  <w:tcW w:w="1411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</w:rPr>
                    <w:t>基础知识。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21支队伍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中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所有参赛选手指定位置落座后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按照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个人身份“西医药”、“中医药”扫码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答题，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在规定时间内完成做题并提交，答对得分，答错不得分，全队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4人平均分数为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团队本环节最终得分。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本环节每人满分100分，四人平均分为团队总分，满分100分。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1411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</w:rPr>
                    <w:t>技能作业（合理用药分析）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。合理用药分析题含处方分析和用药教育，每支队伍2道题，每道题分值为50分，答题时间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0秒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每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人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(含审题时间)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每支队伍按抽签顺序在题目组选择一套题目作答，每套题目包括西医药，中医药合理用药各一道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题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医生针对所给处方作答用药合理性和分析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药师进行用药教育。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到规定答题时间后则停止作答。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评委根据作答情况进行评分。汇总评委评分，去掉一个最高分一个最低分后取平均分，精确到小数点后两位。两道题总分为团队得分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总分为100分。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  <w:jc w:val="center"/>
              </w:trPr>
              <w:tc>
                <w:tcPr>
                  <w:tcW w:w="906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28"/>
                      <w:szCs w:val="28"/>
                    </w:rPr>
                    <w:t>二、决赛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  <w:t>（6个参赛队通过抽签方式确定参赛顺序</w:t>
                  </w: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28"/>
                      <w:szCs w:val="2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0" w:hRule="atLeast"/>
                <w:jc w:val="center"/>
              </w:trPr>
              <w:tc>
                <w:tcPr>
                  <w:tcW w:w="1411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8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日上午</w:t>
                  </w: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</w:rPr>
                    <w:t>技能作业（情境实践题）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。每支队伍按照西医西药及中医中药组合分别观看视频，根据视频情景内容获取信息，先西医师进行病情分析、诊断及鉴别诊断，后西药师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eastAsia="zh-CN"/>
                    </w:rPr>
                    <w:t>进行药品辨别、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根据处方内容及药品进行处方点评和用药交代，每人答题限时90秒，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不含辨药时间和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观看视频时间，答题完毕后，再由中医中药组进行答题，形式同上。</w:t>
                  </w: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评分规则：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评委评分，每道题目100分，个人50分，总分200分。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6" w:hRule="atLeast"/>
                <w:jc w:val="center"/>
              </w:trPr>
              <w:tc>
                <w:tcPr>
                  <w:tcW w:w="1411" w:type="dxa"/>
                  <w:vMerge w:val="continue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spacing w:line="48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000000"/>
                      <w:sz w:val="28"/>
                      <w:szCs w:val="28"/>
                    </w:rPr>
                    <w:t>选手必答题。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本轮题型按“西医、西药、中医、中药” 分组作答，主持人读题后，同身份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选手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8秒内同题作答。</w:t>
                  </w:r>
                </w:p>
                <w:p>
                  <w:pPr>
                    <w:spacing w:line="48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  <w:t>评分规则：答对得分，答错或超时不作答不得分。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  <w:t>个人总分50分，团队总分200分。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9" w:hRule="atLeast"/>
                <w:jc w:val="center"/>
              </w:trPr>
              <w:tc>
                <w:tcPr>
                  <w:tcW w:w="1411" w:type="dxa"/>
                  <w:vMerge w:val="continue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49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leftChars="0"/>
                    <w:jc w:val="left"/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 w:val="28"/>
                      <w:szCs w:val="28"/>
                    </w:rPr>
                    <w:t>风险抢答题（单选、多选、线索题）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  <w:t>。本环节包含单选题、线索题、多选题3种题型，题目设置5分、10分值，主持人读题后，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  <w:lang w:val="en-US" w:eastAsia="zh-CN"/>
                    </w:rPr>
                    <w:t>选手抢答，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  <w:t>8秒内完成答题。</w:t>
                  </w: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</w:rPr>
                    <w:t>评分规则：根据题目分值答对得分，答错扣除个人和团队相应分值。</w:t>
                  </w:r>
                  <w:r>
                    <w:rPr>
                      <w:rFonts w:hint="default" w:ascii="Times New Roman" w:hAnsi="Times New Roman" w:eastAsia="仿宋_GB2312" w:cs="Times New Roman"/>
                      <w:sz w:val="28"/>
                      <w:szCs w:val="28"/>
                      <w:lang w:val="en-US" w:eastAsia="zh-CN"/>
                    </w:rPr>
                    <w:t>团队满分100分。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三、颁奖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优秀经典案例展示（评分前三名）和总结颁奖</w:t>
            </w:r>
          </w:p>
        </w:tc>
      </w:tr>
    </w:tbl>
    <w:p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4528A"/>
    <w:rsid w:val="450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2024-09-18T07:47:00Z</dcterms:created>
  <dc:creator>chenjia</dc:creator>
  <cp:lastModifiedBy>chenjia</cp:lastModifiedBy>
  <dcterms:modified xsi:type="dcterms:W3CDTF">2024-09-18T07:48:08Z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