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Roman" w:hAnsi="Times-Roman" w:eastAsia="黑体" w:cs="Times-Roman"/>
          <w:color w:val="000000"/>
          <w:lang w:val="en-US" w:eastAsia="zh-CN"/>
        </w:rPr>
      </w:pPr>
      <w:r>
        <w:rPr>
          <w:rFonts w:hint="default" w:ascii="Times-Roman" w:hAnsi="Times-Roman" w:eastAsia="黑体" w:cs="Times-Roman"/>
          <w:bCs/>
          <w:snapToGrid w:val="0"/>
          <w:color w:val="000000"/>
          <w:kern w:val="0"/>
          <w:sz w:val="32"/>
          <w:szCs w:val="32"/>
        </w:rPr>
        <w:t>附件</w:t>
      </w:r>
      <w:r>
        <w:rPr>
          <w:rFonts w:hint="default" w:ascii="Times-Roman" w:hAnsi="Times-Roman" w:eastAsia="黑体" w:cs="Times-Roman"/>
          <w:bCs/>
          <w:snapToGrid w:val="0"/>
          <w:color w:val="00000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Roman" w:hAnsi="Times-Roman" w:eastAsia="方正小标宋简体" w:cs="Times-Roman"/>
          <w:bCs/>
          <w:snapToGrid w:val="0"/>
          <w:color w:val="000000"/>
          <w:kern w:val="0"/>
          <w:sz w:val="44"/>
          <w:szCs w:val="44"/>
        </w:rPr>
      </w:pPr>
      <w:bookmarkStart w:id="0" w:name="_GoBack"/>
      <w:r>
        <w:rPr>
          <w:rFonts w:hint="default" w:ascii="Times-Roman" w:hAnsi="Times-Roman" w:eastAsia="方正小标宋简体" w:cs="Times-Roman"/>
          <w:bCs/>
          <w:snapToGrid w:val="0"/>
          <w:color w:val="000000"/>
          <w:kern w:val="0"/>
          <w:sz w:val="44"/>
          <w:szCs w:val="44"/>
        </w:rPr>
        <w:t>202</w:t>
      </w:r>
      <w:r>
        <w:rPr>
          <w:rFonts w:hint="default" w:ascii="Times-Roman" w:hAnsi="Times-Roman" w:eastAsia="方正小标宋简体" w:cs="Times-Roman"/>
          <w:bCs/>
          <w:snapToGrid w:val="0"/>
          <w:color w:val="000000"/>
          <w:kern w:val="0"/>
          <w:sz w:val="44"/>
          <w:szCs w:val="44"/>
          <w:lang w:val="en-US" w:eastAsia="zh-CN"/>
        </w:rPr>
        <w:t>4</w:t>
      </w:r>
      <w:r>
        <w:rPr>
          <w:rFonts w:hint="default" w:ascii="Times-Roman" w:hAnsi="Times-Roman" w:eastAsia="方正小标宋简体" w:cs="Times-Roman"/>
          <w:bCs/>
          <w:snapToGrid w:val="0"/>
          <w:color w:val="000000"/>
          <w:kern w:val="0"/>
          <w:sz w:val="44"/>
          <w:szCs w:val="44"/>
        </w:rPr>
        <w:t>年广东省食品安全地方标准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Roman" w:hAnsi="Times-Roman" w:eastAsia="方正小标宋简体" w:cs="Times-Roman"/>
          <w:bCs/>
          <w:snapToGrid w:val="0"/>
          <w:color w:val="000000"/>
          <w:kern w:val="0"/>
          <w:sz w:val="44"/>
          <w:szCs w:val="44"/>
        </w:rPr>
      </w:pPr>
      <w:r>
        <w:rPr>
          <w:rFonts w:hint="default" w:ascii="Times-Roman" w:hAnsi="Times-Roman" w:eastAsia="方正小标宋简体" w:cs="Times-Roman"/>
          <w:bCs/>
          <w:snapToGrid w:val="0"/>
          <w:color w:val="000000"/>
          <w:kern w:val="0"/>
          <w:sz w:val="44"/>
          <w:szCs w:val="44"/>
        </w:rPr>
        <w:t>制定修订项目计划</w:t>
      </w:r>
    </w:p>
    <w:bookmarkEnd w:id="0"/>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Roman" w:hAnsi="Times-Roman" w:eastAsia="方正小标宋简体" w:cs="Times-Roman"/>
          <w:color w:val="000000"/>
          <w:sz w:val="44"/>
          <w:shd w:val="clear" w:color="auto" w:fill="FFFFFF"/>
        </w:rPr>
      </w:pPr>
    </w:p>
    <w:tbl>
      <w:tblPr>
        <w:tblStyle w:val="4"/>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79"/>
        <w:gridCol w:w="1005"/>
        <w:gridCol w:w="2160"/>
        <w:gridCol w:w="2040"/>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Roman" w:hAnsi="Times-Roman" w:eastAsia="黑体" w:cs="Times-Roman"/>
                <w:color w:val="000000"/>
                <w:sz w:val="28"/>
                <w:szCs w:val="28"/>
              </w:rPr>
            </w:pPr>
            <w:r>
              <w:rPr>
                <w:rFonts w:hint="default" w:ascii="Times-Roman" w:hAnsi="Times-Roman" w:eastAsia="黑体" w:cs="Times-Roman"/>
                <w:color w:val="000000"/>
                <w:sz w:val="28"/>
                <w:szCs w:val="28"/>
              </w:rPr>
              <w:t>序号</w:t>
            </w:r>
          </w:p>
        </w:tc>
        <w:tc>
          <w:tcPr>
            <w:tcW w:w="23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Roman" w:hAnsi="Times-Roman" w:eastAsia="黑体" w:cs="Times-Roman"/>
                <w:color w:val="000000"/>
                <w:sz w:val="28"/>
                <w:szCs w:val="28"/>
              </w:rPr>
            </w:pPr>
            <w:r>
              <w:rPr>
                <w:rFonts w:hint="default" w:ascii="Times-Roman" w:hAnsi="Times-Roman" w:eastAsia="黑体" w:cs="Times-Roman"/>
                <w:color w:val="000000"/>
                <w:sz w:val="28"/>
                <w:szCs w:val="28"/>
              </w:rPr>
              <w:t>项目名称</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Roman" w:hAnsi="Times-Roman" w:eastAsia="黑体" w:cs="Times-Roman"/>
                <w:color w:val="000000"/>
                <w:sz w:val="28"/>
                <w:szCs w:val="28"/>
              </w:rPr>
            </w:pPr>
            <w:r>
              <w:rPr>
                <w:rFonts w:hint="default" w:ascii="Times-Roman" w:hAnsi="Times-Roman" w:eastAsia="黑体" w:cs="Times-Roman"/>
                <w:color w:val="000000"/>
                <w:sz w:val="28"/>
                <w:szCs w:val="28"/>
              </w:rPr>
              <w:t>制定/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Roman" w:hAnsi="Times-Roman" w:eastAsia="黑体" w:cs="Times-Roman"/>
                <w:color w:val="000000"/>
                <w:sz w:val="28"/>
                <w:szCs w:val="28"/>
              </w:rPr>
            </w:pPr>
            <w:r>
              <w:rPr>
                <w:rFonts w:hint="default" w:ascii="Times-Roman" w:hAnsi="Times-Roman" w:eastAsia="黑体" w:cs="Times-Roman"/>
                <w:color w:val="000000"/>
                <w:sz w:val="28"/>
                <w:szCs w:val="28"/>
              </w:rPr>
              <w:t>修订</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Roman" w:hAnsi="Times-Roman" w:eastAsia="黑体" w:cs="Times-Roman"/>
                <w:color w:val="000000"/>
                <w:sz w:val="28"/>
                <w:szCs w:val="28"/>
              </w:rPr>
            </w:pPr>
            <w:r>
              <w:rPr>
                <w:rFonts w:hint="default" w:ascii="Times-Roman" w:hAnsi="Times-Roman" w:eastAsia="黑体" w:cs="Times-Roman"/>
                <w:color w:val="000000"/>
                <w:sz w:val="28"/>
                <w:szCs w:val="28"/>
              </w:rPr>
              <w:t>牵头</w:t>
            </w:r>
            <w:r>
              <w:rPr>
                <w:rFonts w:hint="default" w:ascii="Times-Roman" w:hAnsi="Times-Roman" w:eastAsia="黑体" w:cs="Times-Roman"/>
                <w:color w:val="000000"/>
                <w:sz w:val="28"/>
                <w:szCs w:val="28"/>
                <w:lang w:eastAsia="zh-CN"/>
              </w:rPr>
              <w:t>起草</w:t>
            </w:r>
            <w:r>
              <w:rPr>
                <w:rFonts w:hint="default" w:ascii="Times-Roman" w:hAnsi="Times-Roman" w:eastAsia="黑体" w:cs="Times-Roman"/>
                <w:color w:val="000000"/>
                <w:sz w:val="28"/>
                <w:szCs w:val="28"/>
              </w:rPr>
              <w:t>单位</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Roman" w:hAnsi="Times-Roman" w:eastAsia="黑体" w:cs="Times-Roman"/>
                <w:color w:val="000000"/>
                <w:sz w:val="28"/>
                <w:szCs w:val="28"/>
                <w:lang w:eastAsia="zh-CN"/>
              </w:rPr>
            </w:pPr>
            <w:r>
              <w:rPr>
                <w:rFonts w:hint="default" w:ascii="Times-Roman" w:hAnsi="Times-Roman" w:eastAsia="黑体" w:cs="Times-Roman"/>
                <w:color w:val="000000"/>
                <w:sz w:val="28"/>
                <w:szCs w:val="28"/>
                <w:lang w:eastAsia="zh-CN"/>
              </w:rPr>
              <w:t>主要参与单位</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Roman" w:hAnsi="Times-Roman" w:eastAsia="黑体" w:cs="Times-Roman"/>
                <w:color w:val="000000"/>
                <w:sz w:val="28"/>
                <w:szCs w:val="28"/>
              </w:rPr>
            </w:pPr>
            <w:r>
              <w:rPr>
                <w:rFonts w:hint="default" w:ascii="Times-Roman" w:hAnsi="Times-Roman" w:eastAsia="黑体" w:cs="Times-Roman"/>
                <w:color w:val="000000"/>
                <w:sz w:val="28"/>
                <w:szCs w:val="28"/>
                <w:lang w:eastAsia="zh-CN"/>
              </w:rPr>
              <w:t>项目完成</w:t>
            </w:r>
            <w:r>
              <w:rPr>
                <w:rFonts w:hint="default" w:ascii="Times-Roman" w:hAnsi="Times-Roman" w:eastAsia="黑体" w:cs="Times-Roman"/>
                <w:color w:val="000000"/>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jc w:val="center"/>
        </w:trPr>
        <w:tc>
          <w:tcPr>
            <w:tcW w:w="95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eastAsia="zh-CN"/>
              </w:rPr>
              <w:t>1</w:t>
            </w:r>
          </w:p>
        </w:tc>
        <w:tc>
          <w:tcPr>
            <w:tcW w:w="237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eastAsia="zh-CN"/>
              </w:rPr>
              <w:t>《广东省食品安全地方标准</w:t>
            </w:r>
            <w:r>
              <w:rPr>
                <w:rFonts w:hint="default" w:ascii="Times-Roman" w:hAnsi="Times-Roman" w:cs="Times-Roman"/>
                <w:color w:val="000000"/>
                <w:kern w:val="0"/>
                <w:sz w:val="28"/>
                <w:szCs w:val="28"/>
                <w:lang w:eastAsia="zh-CN"/>
              </w:rPr>
              <w:t xml:space="preserve"> </w:t>
            </w:r>
            <w:r>
              <w:rPr>
                <w:rFonts w:hint="default" w:ascii="Times-Roman" w:hAnsi="Times-Roman" w:eastAsia="仿宋_GB2312" w:cs="Times-Roman"/>
                <w:color w:val="000000"/>
                <w:kern w:val="0"/>
                <w:sz w:val="28"/>
                <w:szCs w:val="28"/>
                <w:lang w:val="en-US" w:eastAsia="zh-CN"/>
              </w:rPr>
              <w:t>香露兜叶（粉）</w:t>
            </w:r>
            <w:r>
              <w:rPr>
                <w:rFonts w:hint="default" w:ascii="Times-Roman" w:hAnsi="Times-Roman" w:eastAsia="仿宋_GB2312" w:cs="Times-Roman"/>
                <w:color w:val="000000"/>
                <w:kern w:val="0"/>
                <w:sz w:val="28"/>
                <w:szCs w:val="28"/>
                <w:lang w:eastAsia="zh-CN"/>
              </w:rPr>
              <w:t>》</w:t>
            </w:r>
          </w:p>
        </w:tc>
        <w:tc>
          <w:tcPr>
            <w:tcW w:w="1005"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eastAsia="zh-CN"/>
              </w:rPr>
              <w:t>制定</w:t>
            </w:r>
          </w:p>
        </w:tc>
        <w:tc>
          <w:tcPr>
            <w:tcW w:w="216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中国热带农业科学院湛江实验站</w:t>
            </w:r>
          </w:p>
        </w:tc>
        <w:tc>
          <w:tcPr>
            <w:tcW w:w="204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中国热带农业科学院香料饮料研究所、中国热带农业科学院农产品加工研究所、中国热带农业科学院广州实验站、仲恺农业工程学院</w:t>
            </w:r>
          </w:p>
        </w:tc>
        <w:tc>
          <w:tcPr>
            <w:tcW w:w="1086"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2</w:t>
            </w:r>
            <w:r>
              <w:rPr>
                <w:rFonts w:hint="default" w:ascii="Times-Roman" w:hAnsi="Times-Roman" w:eastAsia="仿宋_GB2312" w:cs="Times-Roman"/>
                <w:color w:val="000000"/>
                <w:kern w:val="0"/>
                <w:sz w:val="28"/>
                <w:szCs w:val="2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95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2</w:t>
            </w:r>
          </w:p>
        </w:tc>
        <w:tc>
          <w:tcPr>
            <w:tcW w:w="237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w:t>
            </w:r>
            <w:r>
              <w:rPr>
                <w:rFonts w:hint="default" w:ascii="Times-Roman" w:hAnsi="Times-Roman" w:eastAsia="仿宋_GB2312" w:cs="Times-Roman"/>
                <w:color w:val="000000"/>
                <w:kern w:val="0"/>
                <w:sz w:val="28"/>
                <w:szCs w:val="28"/>
                <w:lang w:eastAsia="zh-CN"/>
              </w:rPr>
              <w:t>广东省食品安全地方标准</w:t>
            </w:r>
            <w:r>
              <w:rPr>
                <w:rFonts w:hint="default" w:ascii="Times-Roman" w:hAnsi="Times-Roman" w:cs="Times-Roman"/>
                <w:color w:val="000000"/>
                <w:kern w:val="0"/>
                <w:sz w:val="28"/>
                <w:szCs w:val="28"/>
                <w:lang w:eastAsia="zh-CN"/>
              </w:rPr>
              <w:t xml:space="preserve"> </w:t>
            </w:r>
            <w:r>
              <w:rPr>
                <w:rFonts w:hint="default" w:ascii="Times-Roman" w:hAnsi="Times-Roman" w:eastAsia="仿宋_GB2312" w:cs="Times-Roman"/>
                <w:color w:val="000000"/>
                <w:kern w:val="0"/>
                <w:sz w:val="28"/>
                <w:szCs w:val="28"/>
                <w:lang w:val="en-US" w:eastAsia="zh-CN"/>
              </w:rPr>
              <w:t>橄榄菜生产卫生规范》</w:t>
            </w:r>
          </w:p>
        </w:tc>
        <w:tc>
          <w:tcPr>
            <w:tcW w:w="1005"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制定</w:t>
            </w:r>
          </w:p>
        </w:tc>
        <w:tc>
          <w:tcPr>
            <w:tcW w:w="216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广东产品质量监督检验研究院</w:t>
            </w:r>
          </w:p>
        </w:tc>
        <w:tc>
          <w:tcPr>
            <w:tcW w:w="204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汕头市市场监督管理局、汕头市潮汕橄榄菜研究院</w:t>
            </w:r>
          </w:p>
        </w:tc>
        <w:tc>
          <w:tcPr>
            <w:tcW w:w="1086"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2</w:t>
            </w:r>
            <w:r>
              <w:rPr>
                <w:rFonts w:hint="default" w:ascii="Times-Roman" w:hAnsi="Times-Roman" w:eastAsia="仿宋_GB2312" w:cs="Times-Roman"/>
                <w:color w:val="000000"/>
                <w:kern w:val="0"/>
                <w:sz w:val="28"/>
                <w:szCs w:val="2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95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3</w:t>
            </w:r>
          </w:p>
        </w:tc>
        <w:tc>
          <w:tcPr>
            <w:tcW w:w="237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w:t>
            </w:r>
            <w:r>
              <w:rPr>
                <w:rFonts w:hint="default" w:ascii="Times-Roman" w:hAnsi="Times-Roman" w:eastAsia="仿宋_GB2312" w:cs="Times-Roman"/>
                <w:color w:val="000000"/>
                <w:kern w:val="0"/>
                <w:sz w:val="28"/>
                <w:szCs w:val="28"/>
                <w:lang w:eastAsia="zh-CN"/>
              </w:rPr>
              <w:t>广东省食品安全地方标准</w:t>
            </w:r>
            <w:r>
              <w:rPr>
                <w:rFonts w:hint="default" w:ascii="Times-Roman" w:hAnsi="Times-Roman" w:cs="Times-Roman"/>
                <w:color w:val="000000"/>
                <w:kern w:val="0"/>
                <w:sz w:val="28"/>
                <w:szCs w:val="28"/>
                <w:lang w:eastAsia="zh-CN"/>
              </w:rPr>
              <w:t xml:space="preserve"> </w:t>
            </w:r>
            <w:r>
              <w:rPr>
                <w:rFonts w:hint="default" w:ascii="Times-Roman" w:hAnsi="Times-Roman" w:eastAsia="仿宋_GB2312" w:cs="Times-Roman"/>
                <w:color w:val="000000"/>
                <w:kern w:val="0"/>
                <w:sz w:val="28"/>
                <w:szCs w:val="28"/>
                <w:lang w:val="en-US" w:eastAsia="zh-CN"/>
              </w:rPr>
              <w:t>梅菜生产卫生规范》</w:t>
            </w:r>
          </w:p>
        </w:tc>
        <w:tc>
          <w:tcPr>
            <w:tcW w:w="1005"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制定</w:t>
            </w:r>
          </w:p>
        </w:tc>
        <w:tc>
          <w:tcPr>
            <w:tcW w:w="216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广东产品质量监督检验研究院</w:t>
            </w:r>
          </w:p>
        </w:tc>
        <w:tc>
          <w:tcPr>
            <w:tcW w:w="204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惠州市市场监督管理局、惠州梅菜产销协会</w:t>
            </w:r>
          </w:p>
        </w:tc>
        <w:tc>
          <w:tcPr>
            <w:tcW w:w="1086"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2</w:t>
            </w:r>
            <w:r>
              <w:rPr>
                <w:rFonts w:hint="default" w:ascii="Times-Roman" w:hAnsi="Times-Roman" w:eastAsia="仿宋_GB2312" w:cs="Times-Roman"/>
                <w:color w:val="000000"/>
                <w:kern w:val="0"/>
                <w:sz w:val="28"/>
                <w:szCs w:val="2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jc w:val="center"/>
        </w:trPr>
        <w:tc>
          <w:tcPr>
            <w:tcW w:w="95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4</w:t>
            </w:r>
          </w:p>
        </w:tc>
        <w:tc>
          <w:tcPr>
            <w:tcW w:w="237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w:t>
            </w:r>
            <w:r>
              <w:rPr>
                <w:rFonts w:hint="default" w:ascii="Times-Roman" w:hAnsi="Times-Roman" w:eastAsia="仿宋_GB2312" w:cs="Times-Roman"/>
                <w:color w:val="000000"/>
                <w:kern w:val="0"/>
                <w:sz w:val="28"/>
                <w:szCs w:val="28"/>
                <w:lang w:eastAsia="zh-CN"/>
              </w:rPr>
              <w:t>广东省食品安全地方标准</w:t>
            </w:r>
            <w:r>
              <w:rPr>
                <w:rFonts w:hint="default" w:ascii="Times-Roman" w:hAnsi="Times-Roman" w:cs="Times-Roman"/>
                <w:color w:val="000000"/>
                <w:kern w:val="0"/>
                <w:sz w:val="28"/>
                <w:szCs w:val="28"/>
                <w:lang w:eastAsia="zh-CN"/>
              </w:rPr>
              <w:t xml:space="preserve"> </w:t>
            </w:r>
            <w:r>
              <w:rPr>
                <w:rFonts w:hint="default" w:ascii="Times-Roman" w:hAnsi="Times-Roman" w:eastAsia="仿宋_GB2312" w:cs="Times-Roman"/>
                <w:color w:val="000000"/>
                <w:kern w:val="0"/>
                <w:sz w:val="28"/>
                <w:szCs w:val="28"/>
                <w:lang w:val="en-US" w:eastAsia="zh-CN"/>
              </w:rPr>
              <w:t>现制凉茶加工操作卫生规范》</w:t>
            </w:r>
          </w:p>
        </w:tc>
        <w:tc>
          <w:tcPr>
            <w:tcW w:w="1005"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制定</w:t>
            </w:r>
          </w:p>
        </w:tc>
        <w:tc>
          <w:tcPr>
            <w:tcW w:w="216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广东省食品检验所（广东省酒类检测中心）</w:t>
            </w:r>
          </w:p>
        </w:tc>
        <w:tc>
          <w:tcPr>
            <w:tcW w:w="204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广东省公共卫生研究院、南方医科大学</w:t>
            </w:r>
          </w:p>
        </w:tc>
        <w:tc>
          <w:tcPr>
            <w:tcW w:w="1086"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2</w:t>
            </w:r>
            <w:r>
              <w:rPr>
                <w:rFonts w:hint="default" w:ascii="Times-Roman" w:hAnsi="Times-Roman" w:eastAsia="仿宋_GB2312" w:cs="Times-Roman"/>
                <w:color w:val="000000"/>
                <w:kern w:val="0"/>
                <w:sz w:val="28"/>
                <w:szCs w:val="2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jc w:val="center"/>
        </w:trPr>
        <w:tc>
          <w:tcPr>
            <w:tcW w:w="95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5</w:t>
            </w:r>
          </w:p>
        </w:tc>
        <w:tc>
          <w:tcPr>
            <w:tcW w:w="237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《广东省食品安全地方标准 预包装冷藏、冷冻膳食》DBS 44/007-2017</w:t>
            </w:r>
          </w:p>
        </w:tc>
        <w:tc>
          <w:tcPr>
            <w:tcW w:w="1005"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修订</w:t>
            </w:r>
          </w:p>
        </w:tc>
        <w:tc>
          <w:tcPr>
            <w:tcW w:w="216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广东省食品安全学会、广东省团餐配送行业协会</w:t>
            </w:r>
          </w:p>
        </w:tc>
        <w:tc>
          <w:tcPr>
            <w:tcW w:w="204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p>
        </w:tc>
        <w:tc>
          <w:tcPr>
            <w:tcW w:w="1086"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1</w:t>
            </w:r>
            <w:r>
              <w:rPr>
                <w:rFonts w:hint="default" w:ascii="Times-Roman" w:hAnsi="Times-Roman" w:eastAsia="仿宋_GB2312" w:cs="Times-Roman"/>
                <w:color w:val="000000"/>
                <w:kern w:val="0"/>
                <w:sz w:val="28"/>
                <w:szCs w:val="2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5" w:hRule="atLeast"/>
          <w:jc w:val="center"/>
        </w:trPr>
        <w:tc>
          <w:tcPr>
            <w:tcW w:w="95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6</w:t>
            </w:r>
          </w:p>
        </w:tc>
        <w:tc>
          <w:tcPr>
            <w:tcW w:w="237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《广东省食品安全地方标准 预包装冷藏、冷冻膳食生产经营卫生规范》DBS 44/008-2017</w:t>
            </w:r>
          </w:p>
        </w:tc>
        <w:tc>
          <w:tcPr>
            <w:tcW w:w="1005"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修订</w:t>
            </w:r>
          </w:p>
        </w:tc>
        <w:tc>
          <w:tcPr>
            <w:tcW w:w="216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广东省食品安全学会、广东省团餐配送行业协会</w:t>
            </w:r>
          </w:p>
        </w:tc>
        <w:tc>
          <w:tcPr>
            <w:tcW w:w="204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p>
        </w:tc>
        <w:tc>
          <w:tcPr>
            <w:tcW w:w="1086"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1</w:t>
            </w:r>
            <w:r>
              <w:rPr>
                <w:rFonts w:hint="default" w:ascii="Times-Roman" w:hAnsi="Times-Roman" w:eastAsia="仿宋_GB2312" w:cs="Times-Roman"/>
                <w:color w:val="000000"/>
                <w:kern w:val="0"/>
                <w:sz w:val="28"/>
                <w:szCs w:val="2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95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7</w:t>
            </w:r>
          </w:p>
        </w:tc>
        <w:tc>
          <w:tcPr>
            <w:tcW w:w="237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《广东省食品安全地方标准</w:t>
            </w:r>
            <w:r>
              <w:rPr>
                <w:rFonts w:hint="default" w:ascii="Times-Roman" w:hAnsi="Times-Roman" w:cs="Times-Roman"/>
                <w:color w:val="000000"/>
                <w:kern w:val="0"/>
                <w:sz w:val="28"/>
                <w:szCs w:val="28"/>
                <w:lang w:val="en-US" w:eastAsia="zh-CN"/>
              </w:rPr>
              <w:t xml:space="preserve"> </w:t>
            </w:r>
            <w:r>
              <w:rPr>
                <w:rFonts w:hint="default" w:ascii="Times-Roman" w:hAnsi="Times-Roman" w:eastAsia="仿宋_GB2312" w:cs="Times-Roman"/>
                <w:color w:val="000000"/>
                <w:kern w:val="0"/>
                <w:sz w:val="28"/>
                <w:szCs w:val="28"/>
                <w:lang w:val="en-US" w:eastAsia="zh-CN"/>
              </w:rPr>
              <w:t>白木香叶》DBS 44/011-2018</w:t>
            </w:r>
          </w:p>
        </w:tc>
        <w:tc>
          <w:tcPr>
            <w:tcW w:w="1005"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修订</w:t>
            </w:r>
          </w:p>
        </w:tc>
        <w:tc>
          <w:tcPr>
            <w:tcW w:w="216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广东省疾病预防控制中心</w:t>
            </w:r>
          </w:p>
        </w:tc>
        <w:tc>
          <w:tcPr>
            <w:tcW w:w="204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广东省公共卫生研究院、广东省生物制品与药物研究所</w:t>
            </w:r>
          </w:p>
        </w:tc>
        <w:tc>
          <w:tcPr>
            <w:tcW w:w="1086"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jc w:val="center"/>
        </w:trPr>
        <w:tc>
          <w:tcPr>
            <w:tcW w:w="95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8</w:t>
            </w:r>
          </w:p>
        </w:tc>
        <w:tc>
          <w:tcPr>
            <w:tcW w:w="237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《广东省食品安全地方标准 纳豆粉》DBS 44/013-2019</w:t>
            </w:r>
          </w:p>
        </w:tc>
        <w:tc>
          <w:tcPr>
            <w:tcW w:w="1005"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修订（修改单）</w:t>
            </w:r>
          </w:p>
        </w:tc>
        <w:tc>
          <w:tcPr>
            <w:tcW w:w="216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广东省食品安全学会</w:t>
            </w:r>
          </w:p>
        </w:tc>
        <w:tc>
          <w:tcPr>
            <w:tcW w:w="204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p>
        </w:tc>
        <w:tc>
          <w:tcPr>
            <w:tcW w:w="1086"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1</w:t>
            </w:r>
            <w:r>
              <w:rPr>
                <w:rFonts w:hint="default" w:ascii="Times-Roman" w:hAnsi="Times-Roman" w:eastAsia="仿宋_GB2312" w:cs="Times-Roman"/>
                <w:color w:val="000000"/>
                <w:kern w:val="0"/>
                <w:sz w:val="28"/>
                <w:szCs w:val="2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95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9</w:t>
            </w:r>
          </w:p>
        </w:tc>
        <w:tc>
          <w:tcPr>
            <w:tcW w:w="237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《广东省食品安全地方标准 橄榄菜》DBS 44/014-2019</w:t>
            </w:r>
          </w:p>
        </w:tc>
        <w:tc>
          <w:tcPr>
            <w:tcW w:w="1005"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修订（修改单）</w:t>
            </w:r>
          </w:p>
        </w:tc>
        <w:tc>
          <w:tcPr>
            <w:tcW w:w="216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广东省食品安全学会</w:t>
            </w:r>
          </w:p>
        </w:tc>
        <w:tc>
          <w:tcPr>
            <w:tcW w:w="204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揭阳市食品检验所、汕头市潮汕橄榄菜研究院</w:t>
            </w:r>
          </w:p>
        </w:tc>
        <w:tc>
          <w:tcPr>
            <w:tcW w:w="1086"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1</w:t>
            </w:r>
            <w:r>
              <w:rPr>
                <w:rFonts w:hint="default" w:ascii="Times-Roman" w:hAnsi="Times-Roman" w:eastAsia="仿宋_GB2312" w:cs="Times-Roman"/>
                <w:color w:val="000000"/>
                <w:kern w:val="0"/>
                <w:sz w:val="28"/>
                <w:szCs w:val="2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0" w:hRule="atLeast"/>
          <w:jc w:val="center"/>
        </w:trPr>
        <w:tc>
          <w:tcPr>
            <w:tcW w:w="95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10</w:t>
            </w:r>
          </w:p>
        </w:tc>
        <w:tc>
          <w:tcPr>
            <w:tcW w:w="237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《广东省食品安全地方标准 惠州梅菜》DBS 44/015-2019</w:t>
            </w:r>
          </w:p>
        </w:tc>
        <w:tc>
          <w:tcPr>
            <w:tcW w:w="1005"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修订</w:t>
            </w:r>
          </w:p>
        </w:tc>
        <w:tc>
          <w:tcPr>
            <w:tcW w:w="216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惠州市食品药品检验所</w:t>
            </w:r>
          </w:p>
        </w:tc>
        <w:tc>
          <w:tcPr>
            <w:tcW w:w="204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广东产品质量监督检验研究院、广东省疾病预防控制中心、广东省生物制品与药物研究所、惠州市疾病预防控制中心</w:t>
            </w:r>
          </w:p>
        </w:tc>
        <w:tc>
          <w:tcPr>
            <w:tcW w:w="1086"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1</w:t>
            </w:r>
            <w:r>
              <w:rPr>
                <w:rFonts w:hint="default" w:ascii="Times-Roman" w:hAnsi="Times-Roman" w:eastAsia="仿宋_GB2312" w:cs="Times-Roman"/>
                <w:color w:val="000000"/>
                <w:kern w:val="0"/>
                <w:sz w:val="28"/>
                <w:szCs w:val="2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95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11</w:t>
            </w:r>
          </w:p>
        </w:tc>
        <w:tc>
          <w:tcPr>
            <w:tcW w:w="2379"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《广东省食品安全地方标准</w:t>
            </w:r>
            <w:r>
              <w:rPr>
                <w:rFonts w:hint="default" w:ascii="Times-Roman" w:hAnsi="Times-Roman" w:cs="Times-Roman"/>
                <w:color w:val="000000"/>
                <w:kern w:val="0"/>
                <w:sz w:val="28"/>
                <w:szCs w:val="28"/>
                <w:lang w:val="en-US" w:eastAsia="zh-CN"/>
              </w:rPr>
              <w:t xml:space="preserve"> </w:t>
            </w:r>
            <w:r>
              <w:rPr>
                <w:rFonts w:hint="default" w:ascii="Times-Roman" w:hAnsi="Times-Roman" w:eastAsia="仿宋_GB2312" w:cs="Times-Roman"/>
                <w:color w:val="000000"/>
                <w:kern w:val="0"/>
                <w:sz w:val="28"/>
                <w:szCs w:val="28"/>
                <w:lang w:val="en-US" w:eastAsia="zh-CN"/>
              </w:rPr>
              <w:t>牛大力干制品》DBS 44/016-2021</w:t>
            </w:r>
          </w:p>
        </w:tc>
        <w:tc>
          <w:tcPr>
            <w:tcW w:w="1005"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修订</w:t>
            </w:r>
          </w:p>
        </w:tc>
        <w:tc>
          <w:tcPr>
            <w:tcW w:w="216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五邑大学</w:t>
            </w:r>
          </w:p>
        </w:tc>
        <w:tc>
          <w:tcPr>
            <w:tcW w:w="2040" w:type="dxa"/>
            <w:noWrap w:val="0"/>
            <w:vAlign w:val="center"/>
          </w:tcPr>
          <w:p>
            <w:pPr>
              <w:spacing w:line="360" w:lineRule="exact"/>
              <w:jc w:val="center"/>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广东省疾病预防控制中心、广东省公共卫生研究院</w:t>
            </w:r>
          </w:p>
        </w:tc>
        <w:tc>
          <w:tcPr>
            <w:tcW w:w="1086" w:type="dxa"/>
            <w:noWrap w:val="0"/>
            <w:vAlign w:val="center"/>
          </w:tcPr>
          <w:p>
            <w:pPr>
              <w:widowControl/>
              <w:spacing w:line="480" w:lineRule="exact"/>
              <w:jc w:val="center"/>
              <w:rPr>
                <w:rFonts w:hint="default" w:ascii="Times-Roman" w:hAnsi="Times-Roman" w:eastAsia="仿宋_GB2312" w:cs="Times-Roman"/>
                <w:color w:val="000000"/>
                <w:kern w:val="0"/>
                <w:sz w:val="28"/>
                <w:szCs w:val="28"/>
                <w:lang w:val="en-US" w:eastAsia="zh-CN" w:bidi="ar"/>
              </w:rPr>
            </w:pPr>
            <w:r>
              <w:rPr>
                <w:rFonts w:hint="default" w:ascii="Times-Roman" w:hAnsi="Times-Roman" w:eastAsia="仿宋_GB2312" w:cs="Times-Roman"/>
                <w:color w:val="000000"/>
                <w:kern w:val="0"/>
                <w:sz w:val="28"/>
                <w:szCs w:val="28"/>
                <w:lang w:val="en-US" w:eastAsia="zh-CN"/>
              </w:rPr>
              <w:t>2</w:t>
            </w:r>
            <w:r>
              <w:rPr>
                <w:rFonts w:hint="default" w:ascii="Times-Roman" w:hAnsi="Times-Roman" w:eastAsia="仿宋_GB2312" w:cs="Times-Roman"/>
                <w:color w:val="000000"/>
                <w:kern w:val="0"/>
                <w:sz w:val="28"/>
                <w:szCs w:val="28"/>
                <w:lang w:eastAsia="zh-CN"/>
              </w:rPr>
              <w:t>年</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Roman" w:hAnsi="Times-Roman" w:eastAsia="仿宋_GB2312" w:cs="Times-Roman"/>
          <w:color w:val="000000"/>
          <w:kern w:val="0"/>
          <w:sz w:val="28"/>
          <w:szCs w:val="28"/>
          <w:lang w:eastAsia="zh-CN"/>
        </w:rPr>
      </w:pPr>
      <w:r>
        <w:rPr>
          <w:rFonts w:hint="default" w:ascii="Times-Roman" w:hAnsi="Times-Roman" w:eastAsia="仿宋_GB2312" w:cs="Times-Roman"/>
          <w:color w:val="000000"/>
          <w:kern w:val="0"/>
          <w:sz w:val="28"/>
          <w:szCs w:val="28"/>
        </w:rPr>
        <w:t>注：</w:t>
      </w:r>
      <w:r>
        <w:rPr>
          <w:rFonts w:hint="default" w:ascii="Times-Roman" w:hAnsi="Times-Roman" w:eastAsia="仿宋_GB2312" w:cs="Times-Roman"/>
          <w:color w:val="000000"/>
          <w:kern w:val="0"/>
          <w:sz w:val="28"/>
          <w:szCs w:val="28"/>
          <w:lang w:val="en-US" w:eastAsia="zh-CN"/>
        </w:rPr>
        <w:t>1.</w:t>
      </w:r>
      <w:r>
        <w:rPr>
          <w:rFonts w:hint="default" w:ascii="Times-Roman" w:hAnsi="Times-Roman" w:eastAsia="仿宋_GB2312" w:cs="Times-Roman"/>
          <w:color w:val="000000"/>
          <w:kern w:val="0"/>
          <w:sz w:val="28"/>
          <w:szCs w:val="28"/>
          <w:lang w:eastAsia="zh-CN"/>
        </w:rPr>
        <w:t>《</w:t>
      </w:r>
      <w:r>
        <w:rPr>
          <w:rFonts w:hint="default" w:ascii="Times-Roman" w:hAnsi="Times-Roman" w:eastAsia="仿宋_GB2312" w:cs="Times-Roman"/>
          <w:color w:val="000000"/>
          <w:kern w:val="0"/>
          <w:sz w:val="28"/>
          <w:szCs w:val="28"/>
          <w:lang w:val="en-US" w:eastAsia="zh-CN"/>
        </w:rPr>
        <w:t>香露兜叶（粉）</w:t>
      </w:r>
      <w:r>
        <w:rPr>
          <w:rFonts w:hint="default" w:ascii="Times-Roman" w:hAnsi="Times-Roman" w:eastAsia="仿宋_GB2312" w:cs="Times-Roman"/>
          <w:color w:val="000000"/>
          <w:kern w:val="0"/>
          <w:sz w:val="28"/>
          <w:szCs w:val="28"/>
          <w:lang w:eastAsia="zh-CN"/>
        </w:rPr>
        <w:t>》制定标准的食品安全风险评估应经广东省卫生健康食品安全风险评估专家委员会审议。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Times-Roman" w:hAnsi="Times-Roman" w:eastAsia="仿宋_GB2312" w:cs="Times-Roman"/>
          <w:color w:val="000000"/>
          <w:kern w:val="0"/>
          <w:sz w:val="28"/>
          <w:szCs w:val="28"/>
          <w:lang w:eastAsia="zh-CN"/>
        </w:rPr>
      </w:pPr>
      <w:r>
        <w:rPr>
          <w:rFonts w:hint="default" w:ascii="Times-Roman" w:hAnsi="Times-Roman" w:cs="Times-Roman"/>
          <w:color w:val="000000"/>
          <w:kern w:val="0"/>
          <w:sz w:val="28"/>
          <w:szCs w:val="28"/>
          <w:lang w:val="en-US" w:eastAsia="zh-CN"/>
        </w:rPr>
        <w:t>2.</w:t>
      </w:r>
      <w:r>
        <w:rPr>
          <w:rFonts w:hint="default" w:ascii="Times-Roman" w:hAnsi="Times-Roman" w:eastAsia="仿宋_GB2312" w:cs="Times-Roman"/>
          <w:color w:val="000000"/>
          <w:kern w:val="0"/>
          <w:sz w:val="28"/>
          <w:szCs w:val="28"/>
          <w:lang w:eastAsia="zh-CN"/>
        </w:rPr>
        <w:t>《</w:t>
      </w:r>
      <w:r>
        <w:rPr>
          <w:rFonts w:hint="default" w:ascii="Times-Roman" w:hAnsi="Times-Roman" w:eastAsia="仿宋_GB2312" w:cs="Times-Roman"/>
          <w:color w:val="000000"/>
          <w:kern w:val="0"/>
          <w:sz w:val="28"/>
          <w:szCs w:val="28"/>
          <w:lang w:val="en-US" w:eastAsia="zh-CN"/>
        </w:rPr>
        <w:t>白木香叶》《牛大力干制品》修订标准的</w:t>
      </w:r>
      <w:r>
        <w:rPr>
          <w:rFonts w:hint="default" w:ascii="Times-Roman" w:hAnsi="Times-Roman" w:eastAsia="仿宋_GB2312" w:cs="Times-Roman"/>
          <w:color w:val="000000"/>
          <w:kern w:val="0"/>
          <w:sz w:val="28"/>
          <w:szCs w:val="28"/>
          <w:lang w:eastAsia="zh-CN"/>
        </w:rPr>
        <w:t>扩大适用范围需经广东省卫生健康食品安全风险评估专家委员会审议。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Times-Roman" w:hAnsi="Times-Roman" w:eastAsia="仿宋_GB2312" w:cs="Times-Roman"/>
          <w:color w:val="000000"/>
          <w:kern w:val="0"/>
          <w:sz w:val="28"/>
          <w:szCs w:val="28"/>
          <w:lang w:val="en-US" w:eastAsia="zh-CN"/>
        </w:rPr>
      </w:pPr>
      <w:r>
        <w:rPr>
          <w:rFonts w:hint="default" w:ascii="Times-Roman" w:hAnsi="Times-Roman" w:eastAsia="仿宋_GB2312" w:cs="Times-Roman"/>
          <w:color w:val="000000"/>
          <w:kern w:val="0"/>
          <w:sz w:val="28"/>
          <w:szCs w:val="28"/>
          <w:lang w:val="en-US" w:eastAsia="zh-CN"/>
        </w:rPr>
        <w:t>3.《纳豆粉》《橄榄菜》修订标准</w:t>
      </w:r>
      <w:r>
        <w:rPr>
          <w:rFonts w:hint="default" w:ascii="Times-Roman" w:hAnsi="Times-Roman" w:eastAsia="仿宋_GB2312" w:cs="Times-Roman"/>
          <w:color w:val="000000"/>
          <w:kern w:val="0"/>
          <w:sz w:val="28"/>
          <w:szCs w:val="28"/>
          <w:lang w:eastAsia="zh-CN"/>
        </w:rPr>
        <w:t>根据食品安全国家标准的修订情况，以修改单的形式更新对食品安全国家标准技术要求的引用。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A21B1"/>
    <w:rsid w:val="5CAA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_GB2312" w:cs="Times New Roman"/>
      <w:sz w:val="32"/>
      <w:szCs w:val="24"/>
      <w:lang w:bidi="ar-SA"/>
    </w:rPr>
  </w:style>
  <w:style w:type="paragraph" w:styleId="3">
    <w:name w:val="envelope return"/>
    <w:basedOn w:val="1"/>
    <w:qFormat/>
    <w:uiPriority w:val="0"/>
    <w:pPr>
      <w:snapToGrid w:val="0"/>
    </w:pPr>
    <w:rPr>
      <w:rFonts w:ascii="Arial" w:hAnsi="Arial" w:eastAsia="宋体" w:cs="Times New Roman"/>
      <w:sz w:val="32"/>
      <w:szCs w:val="24"/>
      <w:lang w:bidi="ar-SA"/>
    </w:rPr>
  </w:style>
  <w:style w:type="paragraph" w:styleId="6">
    <w:name w:val="List Paragraph"/>
    <w:basedOn w:val="1"/>
    <w:qFormat/>
    <w:uiPriority w:val="99"/>
    <w:pPr>
      <w:ind w:firstLine="420" w:firstLineChars="200"/>
    </w:pPr>
    <w:rPr>
      <w:rFonts w:ascii="Times New Roman" w:hAnsi="Times New Roman" w:eastAsia="仿宋_GB2312" w:cs="Times New Roman"/>
      <w:sz w:val="32"/>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2024-12-23T02:41:00Z</dcterms:created>
  <dc:creator>chenjia</dc:creator>
  <cp:lastModifiedBy>chenjia</cp:lastModifiedBy>
  <dcterms:modified xsi:type="dcterms:W3CDTF">2024-12-23T02:41:58Z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