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广东省县域医共体信息平台建设方案</w:t>
      </w:r>
    </w:p>
    <w:p>
      <w:pPr>
        <w:adjustRightIn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（参考提纲）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一、建设思路和原则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简要说明项目设计的基本思路、方法和原则。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简要提出项目建设目标。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（一）技术方面：含平台整体架构设计、与异构系统的整合、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数据安全体系、</w:t>
      </w:r>
      <w:r>
        <w:rPr>
          <w:rFonts w:hint="eastAsia" w:ascii="仿宋_GB2312" w:hAnsi="仿宋_GB2312" w:eastAsia="仿宋_GB2312" w:cs="仿宋_GB2312"/>
          <w:sz w:val="32"/>
          <w:szCs w:val="32"/>
        </w:rPr>
        <w:t>与省市全民健康信息平台等外部系统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数据共享交换等;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应用功能方面：含业务协同、分级诊疗服务应用，便民服务应用，医疗质量管理、医疗资源配置、绩效考核评价等业务监管，行政、业务、用药、人事、财务、后勤、药品、耗材等运营管理，以及人工智能等新技术应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主要技术优势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简要说明建设方案功能设计、采用技术的优势和特点。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工作建议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含实施条件、实施步骤、风险评估、防范措施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、复制推广条件及实施意见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C6F5E"/>
    <w:rsid w:val="58B71A2F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2025-06-11T08:04:19Z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