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B263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Cs/>
          <w:snapToGrid w:val="0"/>
          <w:kern w:val="0"/>
          <w:sz w:val="44"/>
          <w:szCs w:val="44"/>
        </w:rPr>
      </w:pPr>
      <w:bookmarkStart w:id="1" w:name="_GoBack"/>
      <w:r>
        <w:rPr>
          <w:rFonts w:hint="default" w:ascii="Times New Roman" w:hAnsi="Times New Roman" w:eastAsia="方正小标宋简体" w:cs="Times New Roman"/>
          <w:bCs/>
          <w:snapToGrid w:val="0"/>
          <w:kern w:val="0"/>
          <w:sz w:val="44"/>
          <w:szCs w:val="44"/>
          <w:lang w:val="en-US" w:eastAsia="zh-CN"/>
        </w:rPr>
        <w:t>广东</w:t>
      </w:r>
      <w:r>
        <w:rPr>
          <w:rFonts w:hint="default" w:ascii="Times New Roman" w:hAnsi="Times New Roman" w:eastAsia="方正小标宋简体" w:cs="Times New Roman"/>
          <w:bCs/>
          <w:snapToGrid w:val="0"/>
          <w:kern w:val="0"/>
          <w:sz w:val="44"/>
          <w:szCs w:val="44"/>
        </w:rPr>
        <w:t>省结核病防治规划（202</w:t>
      </w:r>
      <w:r>
        <w:rPr>
          <w:rFonts w:hint="default" w:ascii="Times New Roman" w:hAnsi="Times New Roman" w:eastAsia="方正小标宋简体" w:cs="Times New Roman"/>
          <w:bCs/>
          <w:snapToGrid w:val="0"/>
          <w:kern w:val="0"/>
          <w:sz w:val="44"/>
          <w:szCs w:val="44"/>
          <w:lang w:val="en-US" w:eastAsia="zh-CN"/>
        </w:rPr>
        <w:t>5</w:t>
      </w:r>
      <w:r>
        <w:rPr>
          <w:rFonts w:hint="eastAsia" w:ascii="Times New Roman" w:hAnsi="Times New Roman" w:eastAsia="方正小标宋简体" w:cs="Times New Roman"/>
          <w:bCs/>
          <w:snapToGrid w:val="0"/>
          <w:kern w:val="0"/>
          <w:sz w:val="44"/>
          <w:szCs w:val="44"/>
          <w:lang w:val="en-US" w:eastAsia="zh-CN"/>
        </w:rPr>
        <w:t>—</w:t>
      </w:r>
      <w:r>
        <w:rPr>
          <w:rFonts w:hint="default" w:ascii="Times New Roman" w:hAnsi="Times New Roman" w:eastAsia="方正小标宋简体" w:cs="Times New Roman"/>
          <w:bCs/>
          <w:snapToGrid w:val="0"/>
          <w:kern w:val="0"/>
          <w:sz w:val="44"/>
          <w:szCs w:val="44"/>
        </w:rPr>
        <w:t>2030年）</w:t>
      </w:r>
    </w:p>
    <w:bookmarkEnd w:id="1"/>
    <w:p w14:paraId="7AC609DE">
      <w:pPr>
        <w:spacing w:line="560" w:lineRule="exact"/>
        <w:ind w:firstLine="640" w:firstLineChars="200"/>
        <w:rPr>
          <w:rFonts w:hint="default" w:ascii="Times New Roman" w:hAnsi="Times New Roman" w:eastAsia="仿宋_GB2312" w:cs="Times New Roman"/>
          <w:sz w:val="32"/>
          <w:szCs w:val="40"/>
        </w:rPr>
      </w:pPr>
    </w:p>
    <w:p w14:paraId="35A276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为贯彻落实《全国结核病防治规划（202</w:t>
      </w:r>
      <w:r>
        <w:rPr>
          <w:rFonts w:hint="eastAsia" w:eastAsia="仿宋_GB2312" w:cs="Times New Roman"/>
          <w:snapToGrid w:val="0"/>
          <w:color w:val="auto"/>
          <w:kern w:val="0"/>
          <w:sz w:val="32"/>
          <w:szCs w:val="32"/>
          <w:lang w:val="en-US" w:eastAsia="zh-CN"/>
        </w:rPr>
        <w:t>4—</w:t>
      </w:r>
      <w:r>
        <w:rPr>
          <w:rFonts w:hint="default" w:ascii="Times New Roman" w:hAnsi="Times New Roman" w:eastAsia="仿宋_GB2312" w:cs="Times New Roman"/>
          <w:snapToGrid w:val="0"/>
          <w:color w:val="auto"/>
          <w:kern w:val="0"/>
          <w:sz w:val="32"/>
          <w:szCs w:val="32"/>
        </w:rPr>
        <w:t>2030年）》</w:t>
      </w:r>
      <w:r>
        <w:rPr>
          <w:rFonts w:hint="eastAsia"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全面加强</w:t>
      </w:r>
      <w:r>
        <w:rPr>
          <w:rFonts w:hint="default" w:ascii="Times New Roman" w:hAnsi="Times New Roman" w:eastAsia="仿宋_GB2312" w:cs="Times New Roman"/>
          <w:snapToGrid w:val="0"/>
          <w:color w:val="auto"/>
          <w:kern w:val="0"/>
          <w:sz w:val="32"/>
          <w:szCs w:val="32"/>
          <w:lang w:val="en-US" w:eastAsia="zh-CN"/>
        </w:rPr>
        <w:t>我省</w:t>
      </w:r>
      <w:r>
        <w:rPr>
          <w:rFonts w:hint="default" w:ascii="Times New Roman" w:hAnsi="Times New Roman" w:eastAsia="仿宋_GB2312" w:cs="Times New Roman"/>
          <w:snapToGrid w:val="0"/>
          <w:color w:val="auto"/>
          <w:kern w:val="0"/>
          <w:sz w:val="32"/>
          <w:szCs w:val="32"/>
        </w:rPr>
        <w:t>结核病防治工作，</w:t>
      </w:r>
      <w:r>
        <w:rPr>
          <w:rFonts w:hint="eastAsia" w:eastAsia="仿宋_GB2312" w:cs="Times New Roman"/>
          <w:snapToGrid w:val="0"/>
          <w:color w:val="auto"/>
          <w:kern w:val="0"/>
          <w:sz w:val="32"/>
          <w:szCs w:val="32"/>
          <w:lang w:eastAsia="zh-CN"/>
        </w:rPr>
        <w:t>全力</w:t>
      </w:r>
      <w:r>
        <w:rPr>
          <w:rFonts w:hint="default" w:ascii="Times New Roman" w:hAnsi="Times New Roman" w:eastAsia="仿宋_GB2312" w:cs="Times New Roman"/>
          <w:snapToGrid w:val="0"/>
          <w:color w:val="auto"/>
          <w:kern w:val="0"/>
          <w:sz w:val="32"/>
          <w:szCs w:val="32"/>
        </w:rPr>
        <w:t>维护广大人民群众身体健康和生命安全，结合</w:t>
      </w:r>
      <w:r>
        <w:rPr>
          <w:rFonts w:hint="eastAsia" w:eastAsia="仿宋_GB2312" w:cs="Times New Roman"/>
          <w:snapToGrid w:val="0"/>
          <w:color w:val="auto"/>
          <w:kern w:val="0"/>
          <w:sz w:val="32"/>
          <w:szCs w:val="32"/>
          <w:lang w:eastAsia="zh-CN"/>
        </w:rPr>
        <w:t>我省</w:t>
      </w:r>
      <w:r>
        <w:rPr>
          <w:rFonts w:hint="default" w:ascii="Times New Roman" w:hAnsi="Times New Roman" w:eastAsia="仿宋_GB2312" w:cs="Times New Roman"/>
          <w:snapToGrid w:val="0"/>
          <w:color w:val="auto"/>
          <w:kern w:val="0"/>
          <w:sz w:val="32"/>
          <w:szCs w:val="32"/>
        </w:rPr>
        <w:t>实际，制定本规划。</w:t>
      </w:r>
    </w:p>
    <w:p w14:paraId="3639D3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一、</w:t>
      </w:r>
      <w:r>
        <w:rPr>
          <w:rFonts w:hint="eastAsia" w:ascii="黑体" w:hAnsi="黑体" w:eastAsia="黑体" w:cs="黑体"/>
          <w:snapToGrid w:val="0"/>
          <w:color w:val="auto"/>
          <w:kern w:val="0"/>
          <w:sz w:val="32"/>
          <w:szCs w:val="32"/>
          <w:lang w:eastAsia="zh-CN"/>
        </w:rPr>
        <w:t>总体目标</w:t>
      </w:r>
    </w:p>
    <w:p w14:paraId="71A9BA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napToGrid w:val="0"/>
          <w:color w:val="auto"/>
          <w:kern w:val="0"/>
          <w:sz w:val="32"/>
          <w:szCs w:val="32"/>
        </w:rPr>
      </w:pPr>
      <w:r>
        <w:rPr>
          <w:rFonts w:hint="eastAsia" w:eastAsia="仿宋_GB2312" w:cs="Times New Roman"/>
          <w:snapToGrid w:val="0"/>
          <w:color w:val="auto"/>
          <w:kern w:val="0"/>
          <w:sz w:val="32"/>
          <w:szCs w:val="32"/>
          <w:lang w:eastAsia="zh-CN"/>
        </w:rPr>
        <w:t>促进城乡区域均衡发展，努力实现全省结核病发病率持续下降、死亡率保持在较低水平、患者经济负担逐步减轻的</w:t>
      </w:r>
      <w:r>
        <w:rPr>
          <w:rFonts w:hint="eastAsia" w:eastAsia="仿宋_GB2312" w:cs="Times New Roman"/>
          <w:snapToGrid w:val="0"/>
          <w:color w:val="auto"/>
          <w:kern w:val="0"/>
          <w:sz w:val="32"/>
          <w:szCs w:val="32"/>
          <w:lang w:val="en-US" w:eastAsia="zh-CN"/>
        </w:rPr>
        <w:t>目标</w:t>
      </w:r>
      <w:r>
        <w:rPr>
          <w:rFonts w:hint="eastAsia" w:eastAsia="仿宋_GB2312" w:cs="Times New Roman"/>
          <w:snapToGrid w:val="0"/>
          <w:color w:val="auto"/>
          <w:kern w:val="0"/>
          <w:sz w:val="32"/>
          <w:szCs w:val="32"/>
          <w:lang w:eastAsia="zh-CN"/>
        </w:rPr>
        <w:t>，为终结结核病流行奠定坚实基础</w:t>
      </w:r>
      <w:r>
        <w:rPr>
          <w:rFonts w:hint="default" w:ascii="Times New Roman" w:hAnsi="Times New Roman" w:eastAsia="仿宋_GB2312" w:cs="Times New Roman"/>
          <w:snapToGrid w:val="0"/>
          <w:color w:val="auto"/>
          <w:kern w:val="0"/>
          <w:sz w:val="32"/>
          <w:szCs w:val="32"/>
        </w:rPr>
        <w:t>。</w:t>
      </w:r>
    </w:p>
    <w:p w14:paraId="5D32D6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到2030年，全省结核病发病率</w:t>
      </w:r>
      <w:r>
        <w:rPr>
          <w:rFonts w:hint="eastAsia" w:ascii="Times New Roman" w:hAnsi="Times New Roman" w:eastAsia="仿宋_GB2312" w:cs="Times New Roman"/>
          <w:snapToGrid w:val="0"/>
          <w:color w:val="auto"/>
          <w:kern w:val="0"/>
          <w:sz w:val="32"/>
          <w:szCs w:val="32"/>
          <w:lang w:eastAsia="zh-CN"/>
        </w:rPr>
        <w:t>下降到</w:t>
      </w:r>
      <w:r>
        <w:rPr>
          <w:rFonts w:hint="default" w:ascii="Times New Roman" w:hAnsi="Times New Roman" w:eastAsia="仿宋_GB2312" w:cs="Times New Roman"/>
          <w:snapToGrid w:val="0"/>
          <w:color w:val="auto"/>
          <w:kern w:val="0"/>
          <w:sz w:val="32"/>
          <w:szCs w:val="32"/>
          <w:highlight w:val="none"/>
        </w:rPr>
        <w:t>4</w:t>
      </w:r>
      <w:r>
        <w:rPr>
          <w:rFonts w:hint="eastAsia" w:eastAsia="仿宋_GB2312" w:cs="Times New Roman"/>
          <w:snapToGrid w:val="0"/>
          <w:color w:val="auto"/>
          <w:kern w:val="0"/>
          <w:sz w:val="32"/>
          <w:szCs w:val="32"/>
          <w:highlight w:val="none"/>
          <w:lang w:val="en-US" w:eastAsia="zh-CN"/>
        </w:rPr>
        <w:t>0</w:t>
      </w:r>
      <w:r>
        <w:rPr>
          <w:rFonts w:hint="default" w:ascii="Times New Roman" w:hAnsi="Times New Roman" w:eastAsia="仿宋_GB2312" w:cs="Times New Roman"/>
          <w:snapToGrid w:val="0"/>
          <w:color w:val="auto"/>
          <w:kern w:val="0"/>
          <w:sz w:val="32"/>
          <w:szCs w:val="32"/>
          <w:highlight w:val="none"/>
        </w:rPr>
        <w:t>/10万</w:t>
      </w:r>
      <w:r>
        <w:rPr>
          <w:rFonts w:hint="eastAsia" w:ascii="Times New Roman" w:hAnsi="Times New Roman" w:eastAsia="仿宋_GB2312" w:cs="Times New Roman"/>
          <w:snapToGrid w:val="0"/>
          <w:color w:val="auto"/>
          <w:kern w:val="0"/>
          <w:sz w:val="32"/>
          <w:szCs w:val="32"/>
          <w:highlight w:val="none"/>
          <w:lang w:eastAsia="zh-CN"/>
        </w:rPr>
        <w:t>以下</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其中，高、中</w:t>
      </w:r>
      <w:r>
        <w:rPr>
          <w:rFonts w:hint="eastAsia" w:ascii="Times New Roman" w:hAnsi="Times New Roman" w:eastAsia="仿宋_GB2312" w:cs="Times New Roman"/>
          <w:snapToGrid w:val="0"/>
          <w:color w:val="auto"/>
          <w:kern w:val="0"/>
          <w:sz w:val="32"/>
          <w:szCs w:val="32"/>
          <w:lang w:eastAsia="zh-CN"/>
        </w:rPr>
        <w:t>、低</w:t>
      </w:r>
      <w:r>
        <w:rPr>
          <w:rFonts w:hint="default" w:ascii="Times New Roman" w:hAnsi="Times New Roman" w:eastAsia="仿宋_GB2312" w:cs="Times New Roman"/>
          <w:snapToGrid w:val="0"/>
          <w:color w:val="auto"/>
          <w:kern w:val="0"/>
          <w:sz w:val="32"/>
          <w:szCs w:val="32"/>
          <w:lang w:eastAsia="zh-CN"/>
        </w:rPr>
        <w:t>流行</w:t>
      </w:r>
      <w:r>
        <w:rPr>
          <w:rFonts w:hint="default" w:ascii="Times New Roman" w:hAnsi="Times New Roman" w:eastAsia="仿宋_GB2312" w:cs="Times New Roman"/>
          <w:snapToGrid w:val="0"/>
          <w:color w:val="auto"/>
          <w:kern w:val="0"/>
          <w:sz w:val="32"/>
          <w:szCs w:val="32"/>
        </w:rPr>
        <w:t>地市</w:t>
      </w:r>
      <w:r>
        <w:rPr>
          <w:rFonts w:hint="default" w:ascii="Times New Roman" w:hAnsi="Times New Roman" w:eastAsia="仿宋_GB2312" w:cs="Times New Roman"/>
          <w:snapToGrid w:val="0"/>
          <w:color w:val="auto"/>
          <w:kern w:val="0"/>
          <w:sz w:val="32"/>
          <w:szCs w:val="32"/>
          <w:vertAlign w:val="superscript"/>
        </w:rPr>
        <w:t>*</w:t>
      </w:r>
      <w:r>
        <w:rPr>
          <w:rFonts w:hint="default" w:ascii="Times New Roman" w:hAnsi="Times New Roman" w:eastAsia="仿宋_GB2312" w:cs="Times New Roman"/>
          <w:snapToGrid w:val="0"/>
          <w:color w:val="auto"/>
          <w:kern w:val="0"/>
          <w:sz w:val="32"/>
          <w:szCs w:val="32"/>
        </w:rPr>
        <w:t>结核病发病率较202</w:t>
      </w:r>
      <w:r>
        <w:rPr>
          <w:rFonts w:hint="eastAsia" w:eastAsia="仿宋_GB2312" w:cs="Times New Roman"/>
          <w:snapToGrid w:val="0"/>
          <w:color w:val="auto"/>
          <w:kern w:val="0"/>
          <w:sz w:val="32"/>
          <w:szCs w:val="32"/>
          <w:lang w:val="en-US" w:eastAsia="zh-CN"/>
        </w:rPr>
        <w:t>3</w:t>
      </w:r>
      <w:r>
        <w:rPr>
          <w:rFonts w:hint="default" w:ascii="Times New Roman" w:hAnsi="Times New Roman" w:eastAsia="仿宋_GB2312" w:cs="Times New Roman"/>
          <w:snapToGrid w:val="0"/>
          <w:color w:val="auto"/>
          <w:kern w:val="0"/>
          <w:sz w:val="32"/>
          <w:szCs w:val="32"/>
        </w:rPr>
        <w:t>年分别下降25%、20%</w:t>
      </w:r>
      <w:r>
        <w:rPr>
          <w:rFonts w:hint="eastAsia" w:ascii="Times New Roman" w:hAnsi="Times New Roman" w:eastAsia="仿宋_GB2312" w:cs="Times New Roman"/>
          <w:snapToGrid w:val="0"/>
          <w:color w:val="auto"/>
          <w:kern w:val="0"/>
          <w:sz w:val="32"/>
          <w:szCs w:val="32"/>
          <w:lang w:eastAsia="zh-CN"/>
        </w:rPr>
        <w:t>、</w:t>
      </w:r>
      <w:r>
        <w:rPr>
          <w:rFonts w:hint="eastAsia" w:ascii="Times New Roman" w:hAnsi="Times New Roman" w:eastAsia="仿宋_GB2312" w:cs="Times New Roman"/>
          <w:snapToGrid w:val="0"/>
          <w:color w:val="auto"/>
          <w:kern w:val="0"/>
          <w:sz w:val="32"/>
          <w:szCs w:val="32"/>
          <w:lang w:val="en-US" w:eastAsia="zh-CN"/>
        </w:rPr>
        <w:t>15%</w:t>
      </w:r>
      <w:r>
        <w:rPr>
          <w:rFonts w:hint="default" w:ascii="Times New Roman" w:hAnsi="Times New Roman" w:eastAsia="仿宋_GB2312" w:cs="Times New Roman"/>
          <w:snapToGrid w:val="0"/>
          <w:color w:val="auto"/>
          <w:kern w:val="0"/>
          <w:sz w:val="32"/>
          <w:szCs w:val="32"/>
        </w:rPr>
        <w:t>。</w:t>
      </w:r>
    </w:p>
    <w:p w14:paraId="6FBD08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黑体" w:cs="Times New Roman"/>
          <w:snapToGrid w:val="0"/>
          <w:color w:val="auto"/>
          <w:kern w:val="0"/>
          <w:sz w:val="32"/>
          <w:szCs w:val="32"/>
        </w:rPr>
      </w:pPr>
      <w:r>
        <w:rPr>
          <w:rFonts w:hint="eastAsia" w:eastAsia="黑体" w:cs="Times New Roman"/>
          <w:snapToGrid w:val="0"/>
          <w:color w:val="auto"/>
          <w:kern w:val="0"/>
          <w:sz w:val="32"/>
          <w:szCs w:val="32"/>
          <w:lang w:eastAsia="zh-CN"/>
        </w:rPr>
        <w:t>二</w:t>
      </w:r>
      <w:r>
        <w:rPr>
          <w:rFonts w:hint="default" w:ascii="Times New Roman" w:hAnsi="Times New Roman" w:eastAsia="黑体" w:cs="Times New Roman"/>
          <w:snapToGrid w:val="0"/>
          <w:color w:val="auto"/>
          <w:kern w:val="0"/>
          <w:sz w:val="32"/>
          <w:szCs w:val="32"/>
        </w:rPr>
        <w:t>、防治措施</w:t>
      </w:r>
    </w:p>
    <w:p w14:paraId="67E22DDC">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楷体_GB2312" w:hAnsi="楷体_GB2312" w:eastAsia="楷体_GB2312" w:cs="楷体_GB2312"/>
          <w:snapToGrid w:val="0"/>
          <w:color w:val="auto"/>
          <w:kern w:val="0"/>
          <w:sz w:val="32"/>
          <w:szCs w:val="32"/>
          <w:lang w:eastAsia="zh-CN"/>
        </w:rPr>
      </w:pPr>
      <w:r>
        <w:rPr>
          <w:rFonts w:hint="eastAsia" w:ascii="楷体_GB2312" w:hAnsi="楷体_GB2312" w:eastAsia="楷体_GB2312" w:cs="楷体_GB2312"/>
          <w:snapToGrid w:val="0"/>
          <w:color w:val="auto"/>
          <w:kern w:val="0"/>
          <w:sz w:val="32"/>
          <w:szCs w:val="32"/>
        </w:rPr>
        <w:t>（一）</w:t>
      </w:r>
      <w:r>
        <w:rPr>
          <w:rFonts w:hint="eastAsia" w:ascii="楷体_GB2312" w:hAnsi="楷体_GB2312" w:eastAsia="楷体_GB2312" w:cs="楷体_GB2312"/>
          <w:snapToGrid w:val="0"/>
          <w:color w:val="auto"/>
          <w:kern w:val="0"/>
          <w:sz w:val="32"/>
          <w:szCs w:val="32"/>
          <w:lang w:eastAsia="zh-CN"/>
        </w:rPr>
        <w:t>完善</w:t>
      </w:r>
      <w:r>
        <w:rPr>
          <w:rFonts w:hint="eastAsia" w:ascii="楷体_GB2312" w:hAnsi="楷体_GB2312" w:eastAsia="楷体_GB2312" w:cs="楷体_GB2312"/>
          <w:snapToGrid w:val="0"/>
          <w:color w:val="auto"/>
          <w:kern w:val="0"/>
          <w:sz w:val="32"/>
          <w:szCs w:val="32"/>
        </w:rPr>
        <w:t>服务体系，提升服务质量</w:t>
      </w:r>
      <w:r>
        <w:rPr>
          <w:rFonts w:hint="eastAsia" w:ascii="楷体_GB2312" w:hAnsi="楷体_GB2312" w:eastAsia="楷体_GB2312" w:cs="楷体_GB2312"/>
          <w:snapToGrid w:val="0"/>
          <w:color w:val="auto"/>
          <w:kern w:val="0"/>
          <w:sz w:val="32"/>
          <w:szCs w:val="32"/>
          <w:lang w:eastAsia="zh-CN"/>
        </w:rPr>
        <w:t>。</w:t>
      </w:r>
    </w:p>
    <w:p w14:paraId="56B1BD9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b/>
          <w:bCs/>
          <w:snapToGrid w:val="0"/>
          <w:color w:val="auto"/>
          <w:kern w:val="0"/>
          <w:sz w:val="32"/>
          <w:szCs w:val="32"/>
        </w:rPr>
        <w:t>1</w:t>
      </w:r>
      <w:r>
        <w:rPr>
          <w:rFonts w:hint="eastAsia" w:ascii="仿宋_GB2312" w:hAnsi="仿宋_GB2312" w:eastAsia="仿宋_GB2312" w:cs="仿宋_GB2312"/>
          <w:b/>
          <w:bCs/>
          <w:snapToGrid w:val="0"/>
          <w:color w:val="auto"/>
          <w:kern w:val="0"/>
          <w:sz w:val="32"/>
          <w:szCs w:val="32"/>
        </w:rPr>
        <w:t>.</w:t>
      </w:r>
      <w:r>
        <w:rPr>
          <w:rFonts w:hint="default" w:ascii="Times New Roman" w:hAnsi="Times New Roman" w:eastAsia="仿宋_GB2312" w:cs="Times New Roman"/>
          <w:b/>
          <w:bCs/>
          <w:snapToGrid w:val="0"/>
          <w:color w:val="auto"/>
          <w:kern w:val="0"/>
          <w:sz w:val="32"/>
          <w:szCs w:val="32"/>
          <w:lang w:eastAsia="zh-CN"/>
        </w:rPr>
        <w:t>健全</w:t>
      </w:r>
      <w:r>
        <w:rPr>
          <w:rFonts w:hint="default" w:ascii="Times New Roman" w:hAnsi="Times New Roman" w:eastAsia="仿宋_GB2312" w:cs="Times New Roman"/>
          <w:b/>
          <w:bCs/>
          <w:snapToGrid w:val="0"/>
          <w:color w:val="auto"/>
          <w:kern w:val="0"/>
          <w:sz w:val="32"/>
          <w:szCs w:val="32"/>
        </w:rPr>
        <w:t>结核病防治服务体系。</w:t>
      </w:r>
      <w:r>
        <w:rPr>
          <w:rFonts w:hint="default" w:ascii="Times New Roman" w:hAnsi="Times New Roman" w:eastAsia="仿宋_GB2312" w:cs="Times New Roman"/>
          <w:b w:val="0"/>
          <w:bCs w:val="0"/>
          <w:snapToGrid w:val="0"/>
          <w:color w:val="auto"/>
          <w:kern w:val="0"/>
          <w:sz w:val="32"/>
          <w:szCs w:val="32"/>
        </w:rPr>
        <w:t>聚焦结核病防治全过程，结合城市医疗联合体和县域医疗卫生共同体建设</w:t>
      </w:r>
      <w:r>
        <w:rPr>
          <w:rFonts w:hint="eastAsia" w:eastAsia="仿宋_GB2312" w:cs="Times New Roman"/>
          <w:b w:val="0"/>
          <w:bCs w:val="0"/>
          <w:snapToGrid w:val="0"/>
          <w:color w:val="auto"/>
          <w:kern w:val="0"/>
          <w:sz w:val="32"/>
          <w:szCs w:val="32"/>
          <w:lang w:eastAsia="zh-CN"/>
        </w:rPr>
        <w:t>，</w:t>
      </w:r>
      <w:r>
        <w:rPr>
          <w:rFonts w:hint="default" w:ascii="Times New Roman" w:hAnsi="Times New Roman" w:eastAsia="仿宋_GB2312" w:cs="Times New Roman"/>
          <w:b w:val="0"/>
          <w:bCs w:val="0"/>
          <w:snapToGrid w:val="0"/>
          <w:color w:val="auto"/>
          <w:kern w:val="0"/>
          <w:sz w:val="32"/>
          <w:szCs w:val="32"/>
        </w:rPr>
        <w:t>加强结核病防治机构、医疗机构、基层医疗机构的分工合作和协调配合，创新医防协同医防融合机制，提升分级诊疗和防治服务质量。鼓励探索建设公共卫生医学（临床）中心</w:t>
      </w:r>
      <w:r>
        <w:rPr>
          <w:rFonts w:hint="eastAsia" w:eastAsia="仿宋_GB2312" w:cs="Times New Roman"/>
          <w:b w:val="0"/>
          <w:bCs w:val="0"/>
          <w:snapToGrid w:val="0"/>
          <w:color w:val="auto"/>
          <w:kern w:val="0"/>
          <w:sz w:val="32"/>
          <w:szCs w:val="32"/>
          <w:lang w:eastAsia="zh-CN"/>
        </w:rPr>
        <w:t>，整合结核病防治、临床诊疗和科研功能</w:t>
      </w:r>
      <w:r>
        <w:rPr>
          <w:rFonts w:hint="default" w:ascii="Times New Roman" w:hAnsi="Times New Roman" w:eastAsia="仿宋_GB2312" w:cs="Times New Roman"/>
          <w:b w:val="0"/>
          <w:bCs w:val="0"/>
          <w:snapToGrid w:val="0"/>
          <w:color w:val="auto"/>
          <w:kern w:val="0"/>
          <w:sz w:val="32"/>
          <w:szCs w:val="32"/>
        </w:rPr>
        <w:t>。加强各级结核病定点医疗机构专科规范化建设。充分发挥基层公共卫生委员会在管理、宣教、早筛早诊中的作用，促进预防为主、社会共治。</w:t>
      </w:r>
    </w:p>
    <w:p w14:paraId="73477AC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b/>
          <w:bCs/>
          <w:snapToGrid w:val="0"/>
          <w:color w:val="auto"/>
          <w:kern w:val="0"/>
          <w:sz w:val="32"/>
          <w:szCs w:val="32"/>
        </w:rPr>
        <w:t>2</w:t>
      </w:r>
      <w:r>
        <w:rPr>
          <w:rFonts w:hint="default" w:ascii="仿宋_GB2312" w:hAnsi="仿宋_GB2312" w:eastAsia="仿宋_GB2312" w:cs="仿宋_GB2312"/>
          <w:b/>
          <w:bCs/>
          <w:snapToGrid w:val="0"/>
          <w:color w:val="auto"/>
          <w:kern w:val="0"/>
          <w:sz w:val="32"/>
          <w:szCs w:val="32"/>
        </w:rPr>
        <w:t>.</w:t>
      </w:r>
      <w:r>
        <w:rPr>
          <w:rFonts w:hint="default" w:ascii="Times New Roman" w:hAnsi="Times New Roman" w:eastAsia="仿宋_GB2312" w:cs="Times New Roman"/>
          <w:b/>
          <w:bCs/>
          <w:snapToGrid w:val="0"/>
          <w:color w:val="auto"/>
          <w:kern w:val="0"/>
          <w:sz w:val="32"/>
          <w:szCs w:val="32"/>
          <w:lang w:eastAsia="zh-CN"/>
        </w:rPr>
        <w:t>建</w:t>
      </w:r>
      <w:r>
        <w:rPr>
          <w:rFonts w:hint="default" w:ascii="Times New Roman" w:hAnsi="Times New Roman" w:eastAsia="仿宋_GB2312" w:cs="Times New Roman"/>
          <w:b/>
          <w:bCs/>
          <w:snapToGrid w:val="0"/>
          <w:color w:val="auto"/>
          <w:kern w:val="0"/>
          <w:sz w:val="32"/>
          <w:szCs w:val="32"/>
        </w:rPr>
        <w:t>强</w:t>
      </w:r>
      <w:r>
        <w:rPr>
          <w:rFonts w:hint="default" w:ascii="Times New Roman" w:hAnsi="Times New Roman" w:eastAsia="仿宋_GB2312" w:cs="Times New Roman"/>
          <w:b/>
          <w:bCs/>
          <w:snapToGrid w:val="0"/>
          <w:color w:val="auto"/>
          <w:kern w:val="0"/>
          <w:sz w:val="32"/>
          <w:szCs w:val="32"/>
          <w:lang w:eastAsia="zh-CN"/>
        </w:rPr>
        <w:t>结核病</w:t>
      </w:r>
      <w:r>
        <w:rPr>
          <w:rFonts w:hint="default" w:ascii="Times New Roman" w:hAnsi="Times New Roman" w:eastAsia="仿宋_GB2312" w:cs="Times New Roman"/>
          <w:b/>
          <w:bCs/>
          <w:snapToGrid w:val="0"/>
          <w:color w:val="auto"/>
          <w:kern w:val="0"/>
          <w:sz w:val="32"/>
          <w:szCs w:val="32"/>
        </w:rPr>
        <w:t>防治队伍。</w:t>
      </w:r>
      <w:r>
        <w:rPr>
          <w:rFonts w:hint="default" w:ascii="Times New Roman" w:hAnsi="Times New Roman" w:eastAsia="仿宋_GB2312" w:cs="Times New Roman"/>
          <w:b w:val="0"/>
          <w:bCs w:val="0"/>
          <w:snapToGrid w:val="0"/>
          <w:color w:val="auto"/>
          <w:kern w:val="0"/>
          <w:sz w:val="32"/>
          <w:szCs w:val="32"/>
          <w:lang w:eastAsia="zh-CN"/>
        </w:rPr>
        <w:t>构</w:t>
      </w:r>
      <w:r>
        <w:rPr>
          <w:rFonts w:hint="default" w:ascii="Times New Roman" w:hAnsi="Times New Roman" w:eastAsia="仿宋_GB2312" w:cs="Times New Roman"/>
          <w:snapToGrid w:val="0"/>
          <w:color w:val="auto"/>
          <w:kern w:val="0"/>
          <w:sz w:val="32"/>
          <w:szCs w:val="32"/>
        </w:rPr>
        <w:t>建</w:t>
      </w:r>
      <w:r>
        <w:rPr>
          <w:rFonts w:hint="default" w:ascii="Times New Roman" w:hAnsi="Times New Roman" w:eastAsia="仿宋_GB2312" w:cs="Times New Roman"/>
          <w:snapToGrid w:val="0"/>
          <w:color w:val="auto"/>
          <w:kern w:val="0"/>
          <w:sz w:val="32"/>
          <w:szCs w:val="32"/>
          <w:lang w:eastAsia="zh-CN"/>
        </w:rPr>
        <w:t>省市县</w:t>
      </w:r>
      <w:r>
        <w:rPr>
          <w:rFonts w:hint="eastAsia"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lang w:val="en-US" w:eastAsia="zh-CN"/>
        </w:rPr>
        <w:t>1+21+N</w:t>
      </w:r>
      <w:r>
        <w:rPr>
          <w:rFonts w:hint="eastAsia" w:eastAsia="仿宋_GB2312" w:cs="Times New Roman"/>
          <w:snapToGrid w:val="0"/>
          <w:color w:val="auto"/>
          <w:kern w:val="0"/>
          <w:sz w:val="32"/>
          <w:szCs w:val="32"/>
          <w:lang w:val="en-US" w:eastAsia="zh-CN"/>
        </w:rPr>
        <w:t>”</w:t>
      </w:r>
      <w:r>
        <w:rPr>
          <w:rFonts w:hint="default" w:ascii="Times New Roman" w:hAnsi="Times New Roman" w:eastAsia="仿宋_GB2312" w:cs="Times New Roman"/>
          <w:snapToGrid w:val="0"/>
          <w:color w:val="auto"/>
          <w:kern w:val="0"/>
          <w:sz w:val="32"/>
          <w:szCs w:val="32"/>
          <w:lang w:val="en-US" w:eastAsia="zh-CN"/>
        </w:rPr>
        <w:t>三级结核病防治</w:t>
      </w:r>
      <w:r>
        <w:rPr>
          <w:rFonts w:hint="default" w:ascii="Times New Roman" w:hAnsi="Times New Roman" w:eastAsia="仿宋_GB2312" w:cs="Times New Roman"/>
          <w:snapToGrid w:val="0"/>
          <w:color w:val="auto"/>
          <w:kern w:val="0"/>
          <w:sz w:val="32"/>
          <w:szCs w:val="32"/>
        </w:rPr>
        <w:t>人才梯队，培养省级专家和区域骨干，推进省级骨干培养项目，落实岗前岗位培训制度，</w:t>
      </w:r>
      <w:r>
        <w:rPr>
          <w:rFonts w:hint="eastAsia" w:eastAsia="仿宋_GB2312" w:cs="Times New Roman"/>
          <w:snapToGrid w:val="0"/>
          <w:color w:val="auto"/>
          <w:kern w:val="0"/>
          <w:sz w:val="32"/>
          <w:szCs w:val="32"/>
          <w:lang w:eastAsia="zh-CN"/>
        </w:rPr>
        <w:t>保障专业人员质量和数量</w:t>
      </w:r>
      <w:r>
        <w:rPr>
          <w:rFonts w:hint="default" w:ascii="Times New Roman" w:hAnsi="Times New Roman" w:eastAsia="仿宋_GB2312" w:cs="Times New Roman"/>
          <w:snapToGrid w:val="0"/>
          <w:color w:val="auto"/>
          <w:kern w:val="0"/>
          <w:sz w:val="32"/>
          <w:szCs w:val="32"/>
        </w:rPr>
        <w:t>，落实薪酬保障和激励制度。积极开展粤港澳大湾区及国际交流合作，参与结核病领域标准、指南制定等。</w:t>
      </w:r>
    </w:p>
    <w:p w14:paraId="5B9319C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b/>
          <w:bCs/>
          <w:snapToGrid w:val="0"/>
          <w:color w:val="auto"/>
          <w:kern w:val="0"/>
          <w:sz w:val="32"/>
          <w:szCs w:val="32"/>
        </w:rPr>
        <w:t>3</w:t>
      </w:r>
      <w:r>
        <w:rPr>
          <w:rFonts w:hint="default" w:ascii="仿宋_GB2312" w:hAnsi="仿宋_GB2312" w:eastAsia="仿宋_GB2312" w:cs="仿宋_GB2312"/>
          <w:b/>
          <w:bCs/>
          <w:snapToGrid w:val="0"/>
          <w:color w:val="auto"/>
          <w:kern w:val="0"/>
          <w:sz w:val="32"/>
          <w:szCs w:val="32"/>
        </w:rPr>
        <w:t>.</w:t>
      </w:r>
      <w:r>
        <w:rPr>
          <w:rFonts w:hint="default" w:ascii="Times New Roman" w:hAnsi="Times New Roman" w:eastAsia="仿宋_GB2312" w:cs="Times New Roman"/>
          <w:b/>
          <w:bCs/>
          <w:snapToGrid w:val="0"/>
          <w:color w:val="auto"/>
          <w:kern w:val="0"/>
          <w:sz w:val="32"/>
          <w:szCs w:val="32"/>
          <w:lang w:eastAsia="zh-CN"/>
        </w:rPr>
        <w:t>强化</w:t>
      </w:r>
      <w:r>
        <w:rPr>
          <w:rFonts w:hint="default" w:ascii="Times New Roman" w:hAnsi="Times New Roman" w:eastAsia="仿宋_GB2312" w:cs="Times New Roman"/>
          <w:b/>
          <w:bCs/>
          <w:snapToGrid w:val="0"/>
          <w:color w:val="auto"/>
          <w:kern w:val="0"/>
          <w:sz w:val="32"/>
          <w:szCs w:val="32"/>
        </w:rPr>
        <w:t>信息协同</w:t>
      </w:r>
      <w:r>
        <w:rPr>
          <w:rFonts w:hint="default" w:ascii="Times New Roman" w:hAnsi="Times New Roman" w:eastAsia="仿宋_GB2312" w:cs="Times New Roman"/>
          <w:b/>
          <w:bCs/>
          <w:snapToGrid w:val="0"/>
          <w:color w:val="auto"/>
          <w:kern w:val="0"/>
          <w:sz w:val="32"/>
          <w:szCs w:val="32"/>
          <w:lang w:eastAsia="zh-CN"/>
        </w:rPr>
        <w:t>共享</w:t>
      </w:r>
      <w:r>
        <w:rPr>
          <w:rFonts w:hint="default" w:ascii="Times New Roman" w:hAnsi="Times New Roman" w:eastAsia="仿宋_GB2312" w:cs="Times New Roman"/>
          <w:b/>
          <w:bCs/>
          <w:snapToGrid w:val="0"/>
          <w:color w:val="auto"/>
          <w:kern w:val="0"/>
          <w:sz w:val="32"/>
          <w:szCs w:val="32"/>
        </w:rPr>
        <w:t>。</w:t>
      </w:r>
      <w:r>
        <w:rPr>
          <w:rFonts w:hint="default" w:ascii="Times New Roman" w:hAnsi="Times New Roman" w:eastAsia="仿宋_GB2312" w:cs="Times New Roman"/>
          <w:b w:val="0"/>
          <w:bCs w:val="0"/>
          <w:snapToGrid w:val="0"/>
          <w:color w:val="auto"/>
          <w:kern w:val="0"/>
          <w:sz w:val="32"/>
          <w:szCs w:val="32"/>
        </w:rPr>
        <w:t>完善省</w:t>
      </w:r>
      <w:r>
        <w:rPr>
          <w:rFonts w:hint="default" w:ascii="Times New Roman" w:hAnsi="Times New Roman" w:eastAsia="仿宋_GB2312" w:cs="Times New Roman"/>
          <w:b w:val="0"/>
          <w:bCs w:val="0"/>
          <w:snapToGrid w:val="0"/>
          <w:color w:val="auto"/>
          <w:kern w:val="0"/>
          <w:sz w:val="32"/>
          <w:szCs w:val="32"/>
          <w:lang w:eastAsia="zh-CN"/>
        </w:rPr>
        <w:t>统筹区域传染病</w:t>
      </w:r>
      <w:r>
        <w:rPr>
          <w:rFonts w:hint="default" w:ascii="Times New Roman" w:hAnsi="Times New Roman" w:eastAsia="仿宋_GB2312" w:cs="Times New Roman"/>
          <w:b w:val="0"/>
          <w:bCs w:val="0"/>
          <w:snapToGrid w:val="0"/>
          <w:color w:val="auto"/>
          <w:kern w:val="0"/>
          <w:sz w:val="32"/>
          <w:szCs w:val="32"/>
        </w:rPr>
        <w:t>监测预警与应急指挥平台中结核病防治子系统功能，</w:t>
      </w:r>
      <w:r>
        <w:rPr>
          <w:rFonts w:hint="eastAsia" w:eastAsia="仿宋_GB2312" w:cs="Times New Roman"/>
          <w:snapToGrid w:val="0"/>
          <w:color w:val="auto"/>
          <w:kern w:val="0"/>
          <w:sz w:val="32"/>
          <w:szCs w:val="32"/>
          <w:lang w:eastAsia="zh-CN"/>
        </w:rPr>
        <w:t>加强</w:t>
      </w:r>
      <w:r>
        <w:rPr>
          <w:rFonts w:hint="eastAsia" w:eastAsia="仿宋_GB2312" w:cs="Times New Roman"/>
          <w:snapToGrid w:val="0"/>
          <w:color w:val="auto"/>
          <w:kern w:val="0"/>
          <w:sz w:val="32"/>
          <w:szCs w:val="32"/>
          <w:u w:val="none"/>
          <w:lang w:val="en-US" w:eastAsia="zh-CN"/>
        </w:rPr>
        <w:t>结核病防治</w:t>
      </w:r>
      <w:r>
        <w:rPr>
          <w:rFonts w:hint="eastAsia" w:ascii="Times New Roman" w:hAnsi="Times New Roman" w:eastAsia="仿宋_GB2312" w:cs="Times New Roman"/>
          <w:snapToGrid w:val="0"/>
          <w:color w:val="auto"/>
          <w:kern w:val="0"/>
          <w:sz w:val="32"/>
          <w:szCs w:val="32"/>
          <w:lang w:eastAsia="zh-CN"/>
        </w:rPr>
        <w:t>机构、</w:t>
      </w:r>
      <w:r>
        <w:rPr>
          <w:rFonts w:hint="default" w:ascii="Times New Roman" w:hAnsi="Times New Roman" w:eastAsia="仿宋_GB2312" w:cs="Times New Roman"/>
          <w:snapToGrid w:val="0"/>
          <w:color w:val="auto"/>
          <w:kern w:val="0"/>
          <w:sz w:val="32"/>
          <w:szCs w:val="32"/>
        </w:rPr>
        <w:t>医疗机构</w:t>
      </w:r>
      <w:r>
        <w:rPr>
          <w:rFonts w:hint="eastAsia"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基层医疗机构</w:t>
      </w:r>
      <w:r>
        <w:rPr>
          <w:rFonts w:hint="eastAsia" w:eastAsia="仿宋_GB2312" w:cs="Times New Roman"/>
          <w:snapToGrid w:val="0"/>
          <w:color w:val="auto"/>
          <w:kern w:val="0"/>
          <w:sz w:val="32"/>
          <w:szCs w:val="32"/>
          <w:lang w:eastAsia="zh-CN"/>
        </w:rPr>
        <w:t>间的</w:t>
      </w:r>
      <w:r>
        <w:rPr>
          <w:rFonts w:hint="default" w:ascii="Times New Roman" w:hAnsi="Times New Roman" w:eastAsia="仿宋_GB2312" w:cs="Times New Roman"/>
          <w:snapToGrid w:val="0"/>
          <w:color w:val="auto"/>
          <w:kern w:val="0"/>
          <w:sz w:val="32"/>
          <w:szCs w:val="32"/>
        </w:rPr>
        <w:t>诊疗与管理信息协同，开展结核病哨点监测，及时掌握流行情况。</w:t>
      </w:r>
      <w:r>
        <w:rPr>
          <w:rFonts w:hint="eastAsia" w:ascii="Times New Roman" w:hAnsi="Times New Roman" w:eastAsia="仿宋_GB2312" w:cs="Times New Roman"/>
          <w:snapToGrid w:val="0"/>
          <w:color w:val="auto"/>
          <w:kern w:val="0"/>
          <w:sz w:val="32"/>
          <w:szCs w:val="32"/>
          <w:lang w:eastAsia="zh-CN"/>
        </w:rPr>
        <w:t>定期开展疫情分析研判</w:t>
      </w:r>
      <w:r>
        <w:rPr>
          <w:rFonts w:hint="eastAsia" w:eastAsia="仿宋_GB2312" w:cs="Times New Roman"/>
          <w:snapToGrid w:val="0"/>
          <w:color w:val="auto"/>
          <w:kern w:val="0"/>
          <w:sz w:val="32"/>
          <w:szCs w:val="32"/>
          <w:lang w:eastAsia="zh-CN"/>
        </w:rPr>
        <w:t>与应用</w:t>
      </w:r>
      <w:r>
        <w:rPr>
          <w:rFonts w:hint="eastAsia" w:ascii="Times New Roman" w:hAnsi="Times New Roman" w:eastAsia="仿宋_GB2312" w:cs="Times New Roman"/>
          <w:snapToGrid w:val="0"/>
          <w:color w:val="auto"/>
          <w:kern w:val="0"/>
          <w:sz w:val="32"/>
          <w:szCs w:val="32"/>
          <w:lang w:eastAsia="zh-CN"/>
        </w:rPr>
        <w:t>，建立部门间疫情信息共享通报机制</w:t>
      </w:r>
      <w:r>
        <w:rPr>
          <w:rFonts w:hint="default" w:ascii="Times New Roman" w:hAnsi="Times New Roman" w:eastAsia="仿宋_GB2312" w:cs="Times New Roman"/>
          <w:snapToGrid w:val="0"/>
          <w:color w:val="auto"/>
          <w:kern w:val="0"/>
          <w:sz w:val="32"/>
          <w:szCs w:val="32"/>
        </w:rPr>
        <w:t>。</w:t>
      </w:r>
      <w:r>
        <w:rPr>
          <w:rFonts w:hint="default" w:ascii="Times New Roman" w:hAnsi="Times New Roman" w:eastAsia="仿宋_GB2312" w:cs="Times New Roman"/>
          <w:snapToGrid w:val="0"/>
          <w:color w:val="auto"/>
          <w:kern w:val="0"/>
          <w:sz w:val="32"/>
          <w:szCs w:val="32"/>
          <w:highlight w:val="none"/>
          <w:lang w:val="en-US" w:eastAsia="zh-CN"/>
        </w:rPr>
        <w:t>丰富完善智慧结控系统</w:t>
      </w:r>
      <w:r>
        <w:rPr>
          <w:rFonts w:hint="eastAsia" w:eastAsia="仿宋_GB2312" w:cs="Times New Roman"/>
          <w:snapToGrid w:val="0"/>
          <w:color w:val="auto"/>
          <w:kern w:val="0"/>
          <w:sz w:val="32"/>
          <w:szCs w:val="32"/>
          <w:highlight w:val="none"/>
          <w:lang w:val="en-US" w:eastAsia="zh-CN"/>
        </w:rPr>
        <w:t>功能</w:t>
      </w:r>
      <w:r>
        <w:rPr>
          <w:rFonts w:hint="default" w:ascii="Times New Roman" w:hAnsi="Times New Roman" w:eastAsia="仿宋_GB2312" w:cs="Times New Roman"/>
          <w:snapToGrid w:val="0"/>
          <w:color w:val="auto"/>
          <w:kern w:val="0"/>
          <w:sz w:val="32"/>
          <w:szCs w:val="32"/>
          <w:highlight w:val="none"/>
          <w:lang w:val="en-US" w:eastAsia="zh-CN"/>
        </w:rPr>
        <w:t>，</w:t>
      </w:r>
      <w:r>
        <w:rPr>
          <w:rFonts w:hint="eastAsia" w:ascii="Times New Roman" w:hAnsi="Times New Roman" w:eastAsia="仿宋_GB2312" w:cs="Times New Roman"/>
          <w:snapToGrid w:val="0"/>
          <w:color w:val="auto"/>
          <w:kern w:val="0"/>
          <w:sz w:val="32"/>
          <w:szCs w:val="32"/>
          <w:highlight w:val="none"/>
          <w:lang w:val="en-US" w:eastAsia="zh-CN"/>
        </w:rPr>
        <w:t>加强</w:t>
      </w:r>
      <w:r>
        <w:rPr>
          <w:rFonts w:hint="default" w:ascii="Times New Roman" w:hAnsi="Times New Roman" w:eastAsia="仿宋_GB2312" w:cs="Times New Roman"/>
          <w:snapToGrid w:val="0"/>
          <w:color w:val="auto"/>
          <w:kern w:val="0"/>
          <w:sz w:val="32"/>
          <w:szCs w:val="32"/>
          <w:highlight w:val="none"/>
        </w:rPr>
        <w:t>数智化</w:t>
      </w:r>
      <w:r>
        <w:rPr>
          <w:rFonts w:hint="default" w:ascii="Times New Roman" w:hAnsi="Times New Roman" w:eastAsia="仿宋_GB2312" w:cs="Times New Roman"/>
          <w:snapToGrid w:val="0"/>
          <w:color w:val="auto"/>
          <w:kern w:val="0"/>
          <w:sz w:val="32"/>
          <w:szCs w:val="32"/>
          <w:highlight w:val="none"/>
          <w:lang w:val="en-US" w:eastAsia="zh-CN"/>
        </w:rPr>
        <w:t>能</w:t>
      </w:r>
      <w:r>
        <w:rPr>
          <w:rFonts w:hint="eastAsia" w:ascii="Times New Roman" w:hAnsi="Times New Roman" w:eastAsia="仿宋_GB2312" w:cs="Times New Roman"/>
          <w:snapToGrid w:val="0"/>
          <w:color w:val="auto"/>
          <w:kern w:val="0"/>
          <w:sz w:val="32"/>
          <w:szCs w:val="32"/>
          <w:highlight w:val="none"/>
          <w:lang w:val="en-US" w:eastAsia="zh-CN"/>
        </w:rPr>
        <w:t>力建设</w:t>
      </w:r>
      <w:r>
        <w:rPr>
          <w:rFonts w:hint="default" w:ascii="Times New Roman" w:hAnsi="Times New Roman" w:eastAsia="仿宋_GB2312" w:cs="Times New Roman"/>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eastAsia="zh-CN"/>
        </w:rPr>
        <w:t>持续推进数智健康管理模式</w:t>
      </w:r>
      <w:r>
        <w:rPr>
          <w:rFonts w:hint="default" w:ascii="Times New Roman" w:hAnsi="Times New Roman" w:eastAsia="仿宋_GB2312" w:cs="Times New Roman"/>
          <w:snapToGrid w:val="0"/>
          <w:color w:val="auto"/>
          <w:kern w:val="0"/>
          <w:sz w:val="32"/>
          <w:szCs w:val="32"/>
          <w:highlight w:val="none"/>
          <w:lang w:val="en-US" w:eastAsia="zh-CN"/>
        </w:rPr>
        <w:t>。</w:t>
      </w:r>
    </w:p>
    <w:p w14:paraId="37698CBE">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楷体_GB2312" w:hAnsi="楷体_GB2312" w:eastAsia="楷体_GB2312" w:cs="楷体_GB2312"/>
          <w:snapToGrid w:val="0"/>
          <w:color w:val="auto"/>
          <w:kern w:val="0"/>
          <w:sz w:val="32"/>
          <w:szCs w:val="32"/>
          <w:lang w:eastAsia="zh-CN"/>
        </w:rPr>
      </w:pPr>
      <w:r>
        <w:rPr>
          <w:rFonts w:hint="eastAsia" w:ascii="楷体_GB2312" w:hAnsi="楷体_GB2312" w:eastAsia="楷体_GB2312" w:cs="楷体_GB2312"/>
          <w:snapToGrid w:val="0"/>
          <w:color w:val="auto"/>
          <w:kern w:val="0"/>
          <w:sz w:val="32"/>
          <w:szCs w:val="32"/>
        </w:rPr>
        <w:t>（二）强化主动筛查，提高</w:t>
      </w:r>
      <w:r>
        <w:rPr>
          <w:rFonts w:hint="eastAsia" w:ascii="楷体_GB2312" w:hAnsi="楷体_GB2312" w:eastAsia="楷体_GB2312" w:cs="楷体_GB2312"/>
          <w:snapToGrid w:val="0"/>
          <w:color w:val="auto"/>
          <w:kern w:val="0"/>
          <w:sz w:val="32"/>
          <w:szCs w:val="32"/>
          <w:lang w:eastAsia="zh-CN"/>
        </w:rPr>
        <w:t>早</w:t>
      </w:r>
      <w:r>
        <w:rPr>
          <w:rFonts w:hint="eastAsia" w:ascii="楷体_GB2312" w:hAnsi="楷体_GB2312" w:eastAsia="楷体_GB2312" w:cs="楷体_GB2312"/>
          <w:snapToGrid w:val="0"/>
          <w:color w:val="auto"/>
          <w:kern w:val="0"/>
          <w:sz w:val="32"/>
          <w:szCs w:val="32"/>
        </w:rPr>
        <w:t>发现</w:t>
      </w:r>
      <w:r>
        <w:rPr>
          <w:rFonts w:hint="eastAsia" w:ascii="楷体_GB2312" w:hAnsi="楷体_GB2312" w:eastAsia="楷体_GB2312" w:cs="楷体_GB2312"/>
          <w:snapToGrid w:val="0"/>
          <w:color w:val="auto"/>
          <w:kern w:val="0"/>
          <w:sz w:val="32"/>
          <w:szCs w:val="32"/>
          <w:lang w:eastAsia="zh-CN"/>
        </w:rPr>
        <w:t>能力。</w:t>
      </w:r>
    </w:p>
    <w:p w14:paraId="619535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rPr>
        <w:t>1</w:t>
      </w:r>
      <w:r>
        <w:rPr>
          <w:rFonts w:hint="default" w:ascii="仿宋_GB2312" w:hAnsi="仿宋_GB2312" w:eastAsia="仿宋_GB2312" w:cs="仿宋_GB2312"/>
          <w:b/>
          <w:bCs/>
          <w:snapToGrid w:val="0"/>
          <w:color w:val="auto"/>
          <w:kern w:val="0"/>
          <w:sz w:val="32"/>
          <w:szCs w:val="32"/>
        </w:rPr>
        <w:t>.</w:t>
      </w:r>
      <w:r>
        <w:rPr>
          <w:rFonts w:hint="eastAsia" w:eastAsia="仿宋_GB2312" w:cs="Times New Roman"/>
          <w:b/>
          <w:bCs/>
          <w:snapToGrid w:val="0"/>
          <w:color w:val="auto"/>
          <w:kern w:val="0"/>
          <w:sz w:val="32"/>
          <w:szCs w:val="32"/>
          <w:lang w:eastAsia="zh-CN"/>
        </w:rPr>
        <w:t>规范</w:t>
      </w:r>
      <w:r>
        <w:rPr>
          <w:rFonts w:hint="default" w:ascii="Times New Roman" w:hAnsi="Times New Roman" w:eastAsia="仿宋_GB2312" w:cs="Times New Roman"/>
          <w:b/>
          <w:bCs/>
          <w:snapToGrid w:val="0"/>
          <w:color w:val="auto"/>
          <w:kern w:val="0"/>
          <w:sz w:val="32"/>
          <w:szCs w:val="32"/>
        </w:rPr>
        <w:t>诊断</w:t>
      </w:r>
      <w:r>
        <w:rPr>
          <w:rFonts w:hint="eastAsia" w:eastAsia="仿宋_GB2312" w:cs="Times New Roman"/>
          <w:b/>
          <w:bCs/>
          <w:snapToGrid w:val="0"/>
          <w:color w:val="auto"/>
          <w:kern w:val="0"/>
          <w:sz w:val="32"/>
          <w:szCs w:val="32"/>
          <w:lang w:eastAsia="zh-CN"/>
        </w:rPr>
        <w:t>报告</w:t>
      </w:r>
      <w:r>
        <w:rPr>
          <w:rFonts w:hint="default" w:ascii="Times New Roman" w:hAnsi="Times New Roman" w:eastAsia="仿宋_GB2312" w:cs="Times New Roman"/>
          <w:b/>
          <w:bCs/>
          <w:snapToGrid w:val="0"/>
          <w:color w:val="auto"/>
          <w:kern w:val="0"/>
          <w:sz w:val="32"/>
          <w:szCs w:val="32"/>
        </w:rPr>
        <w:t>。</w:t>
      </w:r>
      <w:r>
        <w:rPr>
          <w:rFonts w:hint="default" w:ascii="Times New Roman" w:hAnsi="Times New Roman" w:eastAsia="仿宋_GB2312" w:cs="Times New Roman"/>
          <w:snapToGrid w:val="0"/>
          <w:color w:val="auto"/>
          <w:kern w:val="0"/>
          <w:sz w:val="32"/>
          <w:szCs w:val="32"/>
        </w:rPr>
        <w:t>加强医疗机构预检分诊，</w:t>
      </w:r>
      <w:r>
        <w:rPr>
          <w:rFonts w:hint="eastAsia" w:eastAsia="仿宋_GB2312" w:cs="Times New Roman"/>
          <w:snapToGrid w:val="0"/>
          <w:color w:val="auto"/>
          <w:kern w:val="0"/>
          <w:sz w:val="32"/>
          <w:szCs w:val="32"/>
          <w:lang w:eastAsia="zh-CN"/>
        </w:rPr>
        <w:t>优化</w:t>
      </w:r>
      <w:r>
        <w:rPr>
          <w:rFonts w:hint="default" w:ascii="Times New Roman" w:hAnsi="Times New Roman" w:eastAsia="仿宋_GB2312" w:cs="Times New Roman"/>
          <w:snapToGrid w:val="0"/>
          <w:color w:val="auto"/>
          <w:kern w:val="0"/>
          <w:sz w:val="32"/>
          <w:szCs w:val="32"/>
        </w:rPr>
        <w:t>工作流程，各级各类医疗卫生机构要对就诊的肺结核可疑症状者和高风险人群开展胸部影像学和病原学等检查，提高诊断的及时性。对</w:t>
      </w:r>
      <w:r>
        <w:rPr>
          <w:rFonts w:hint="eastAsia" w:eastAsia="仿宋_GB2312" w:cs="Times New Roman"/>
          <w:snapToGrid w:val="0"/>
          <w:color w:val="auto"/>
          <w:kern w:val="0"/>
          <w:sz w:val="32"/>
          <w:szCs w:val="32"/>
          <w:lang w:eastAsia="zh-CN"/>
        </w:rPr>
        <w:t>确诊及</w:t>
      </w:r>
      <w:r>
        <w:rPr>
          <w:rFonts w:hint="default" w:ascii="Times New Roman" w:hAnsi="Times New Roman" w:eastAsia="仿宋_GB2312" w:cs="Times New Roman"/>
          <w:snapToGrid w:val="0"/>
          <w:color w:val="auto"/>
          <w:kern w:val="0"/>
          <w:sz w:val="32"/>
          <w:szCs w:val="32"/>
        </w:rPr>
        <w:t>疑似患者</w:t>
      </w:r>
      <w:r>
        <w:rPr>
          <w:rFonts w:hint="eastAsia" w:eastAsia="仿宋_GB2312" w:cs="Times New Roman"/>
          <w:snapToGrid w:val="0"/>
          <w:color w:val="auto"/>
          <w:kern w:val="0"/>
          <w:sz w:val="32"/>
          <w:szCs w:val="32"/>
          <w:lang w:eastAsia="zh-CN"/>
        </w:rPr>
        <w:t>，严格</w:t>
      </w:r>
      <w:r>
        <w:rPr>
          <w:rFonts w:hint="default" w:ascii="Times New Roman" w:hAnsi="Times New Roman" w:eastAsia="仿宋_GB2312" w:cs="Times New Roman"/>
          <w:snapToGrid w:val="0"/>
          <w:color w:val="auto"/>
          <w:kern w:val="0"/>
          <w:sz w:val="32"/>
          <w:szCs w:val="32"/>
        </w:rPr>
        <w:t>按时限报告、转诊和登记</w:t>
      </w:r>
      <w:r>
        <w:rPr>
          <w:rFonts w:hint="default" w:ascii="Times New Roman" w:hAnsi="Times New Roman" w:eastAsia="仿宋_GB2312" w:cs="Times New Roman"/>
          <w:snapToGrid w:val="0"/>
          <w:color w:val="auto"/>
          <w:kern w:val="0"/>
          <w:sz w:val="32"/>
          <w:szCs w:val="32"/>
          <w:highlight w:val="none"/>
        </w:rPr>
        <w:t>。</w:t>
      </w:r>
    </w:p>
    <w:p w14:paraId="0215204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b/>
          <w:bCs/>
          <w:snapToGrid w:val="0"/>
          <w:color w:val="auto"/>
          <w:kern w:val="0"/>
          <w:sz w:val="32"/>
          <w:szCs w:val="32"/>
        </w:rPr>
        <w:t>2</w:t>
      </w:r>
      <w:r>
        <w:rPr>
          <w:rFonts w:hint="default" w:ascii="仿宋_GB2312" w:hAnsi="仿宋_GB2312" w:eastAsia="仿宋_GB2312" w:cs="仿宋_GB2312"/>
          <w:b/>
          <w:bCs/>
          <w:snapToGrid w:val="0"/>
          <w:color w:val="auto"/>
          <w:kern w:val="0"/>
          <w:sz w:val="32"/>
          <w:szCs w:val="32"/>
        </w:rPr>
        <w:t>.</w:t>
      </w:r>
      <w:r>
        <w:rPr>
          <w:rFonts w:hint="default" w:ascii="Times New Roman" w:hAnsi="Times New Roman" w:eastAsia="仿宋_GB2312" w:cs="Times New Roman"/>
          <w:b/>
          <w:bCs/>
          <w:snapToGrid w:val="0"/>
          <w:color w:val="auto"/>
          <w:kern w:val="0"/>
          <w:sz w:val="32"/>
          <w:szCs w:val="32"/>
        </w:rPr>
        <w:t>强化主动筛查。</w:t>
      </w:r>
      <w:r>
        <w:rPr>
          <w:rFonts w:hint="default" w:ascii="Times New Roman" w:hAnsi="Times New Roman" w:eastAsia="仿宋_GB2312" w:cs="Times New Roman"/>
          <w:snapToGrid w:val="0"/>
          <w:color w:val="auto"/>
          <w:kern w:val="0"/>
          <w:sz w:val="32"/>
          <w:szCs w:val="32"/>
          <w:highlight w:val="none"/>
          <w:lang w:val="en-US" w:eastAsia="zh-CN"/>
        </w:rPr>
        <w:t>在</w:t>
      </w:r>
      <w:r>
        <w:rPr>
          <w:rFonts w:hint="default" w:ascii="Times New Roman" w:hAnsi="Times New Roman" w:eastAsia="仿宋_GB2312" w:cs="Times New Roman"/>
          <w:snapToGrid w:val="0"/>
          <w:color w:val="auto"/>
          <w:kern w:val="0"/>
          <w:sz w:val="32"/>
          <w:szCs w:val="32"/>
        </w:rPr>
        <w:t>肺结核患者密切接触者、艾滋病病毒感染者、既往结核病患者等重点人群及高危人群中开展主动筛查，推</w:t>
      </w:r>
      <w:r>
        <w:rPr>
          <w:rFonts w:hint="default" w:ascii="Times New Roman" w:hAnsi="Times New Roman" w:eastAsia="仿宋_GB2312" w:cs="Times New Roman"/>
          <w:snapToGrid w:val="0"/>
          <w:color w:val="auto"/>
          <w:kern w:val="0"/>
          <w:sz w:val="32"/>
          <w:szCs w:val="32"/>
          <w:lang w:val="en-US" w:eastAsia="zh-CN"/>
        </w:rPr>
        <w:t>动</w:t>
      </w:r>
      <w:r>
        <w:rPr>
          <w:rFonts w:hint="eastAsia" w:ascii="Times New Roman" w:hAnsi="Times New Roman" w:eastAsia="仿宋_GB2312" w:cs="Times New Roman"/>
          <w:snapToGrid w:val="0"/>
          <w:color w:val="auto"/>
          <w:kern w:val="0"/>
          <w:sz w:val="32"/>
          <w:szCs w:val="32"/>
          <w:lang w:val="en-US" w:eastAsia="zh-CN"/>
        </w:rPr>
        <w:t>在</w:t>
      </w:r>
      <w:r>
        <w:rPr>
          <w:rFonts w:hint="default" w:ascii="Times New Roman" w:hAnsi="Times New Roman" w:eastAsia="仿宋_GB2312" w:cs="Times New Roman"/>
          <w:snapToGrid w:val="0"/>
          <w:color w:val="auto"/>
          <w:kern w:val="0"/>
          <w:sz w:val="32"/>
          <w:szCs w:val="32"/>
        </w:rPr>
        <w:t>老年人、糖尿病患者</w:t>
      </w:r>
      <w:r>
        <w:rPr>
          <w:rFonts w:hint="default" w:ascii="Times New Roman" w:hAnsi="Times New Roman" w:eastAsia="仿宋_GB2312" w:cs="Times New Roman"/>
          <w:snapToGrid w:val="0"/>
          <w:color w:val="auto"/>
          <w:kern w:val="0"/>
          <w:sz w:val="32"/>
          <w:szCs w:val="32"/>
          <w:lang w:val="en-US" w:eastAsia="zh-CN"/>
        </w:rPr>
        <w:t>等重点人群定期</w:t>
      </w:r>
      <w:r>
        <w:rPr>
          <w:rFonts w:hint="default" w:ascii="Times New Roman" w:hAnsi="Times New Roman" w:eastAsia="仿宋_GB2312" w:cs="Times New Roman"/>
          <w:snapToGrid w:val="0"/>
          <w:color w:val="auto"/>
          <w:kern w:val="0"/>
          <w:sz w:val="32"/>
          <w:szCs w:val="32"/>
        </w:rPr>
        <w:t>开展胸部影像学检查。学校、监管场所、社会福利机构、未成年人救助保护机构、精神病医院和工矿企业等将结核病检查作为入学（所、院、职）体检必查项目以及年度常规体检项目</w:t>
      </w:r>
      <w:r>
        <w:rPr>
          <w:rFonts w:hint="eastAsia"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lang w:eastAsia="zh-CN"/>
        </w:rPr>
        <w:t>高流行地市</w:t>
      </w:r>
      <w:r>
        <w:rPr>
          <w:rFonts w:hint="eastAsia" w:eastAsia="仿宋_GB2312" w:cs="Times New Roman"/>
          <w:snapToGrid w:val="0"/>
          <w:color w:val="auto"/>
          <w:kern w:val="0"/>
          <w:sz w:val="32"/>
          <w:szCs w:val="32"/>
          <w:lang w:eastAsia="zh-CN"/>
        </w:rPr>
        <w:t>和</w:t>
      </w:r>
      <w:r>
        <w:rPr>
          <w:rFonts w:hint="default" w:ascii="Times New Roman" w:hAnsi="Times New Roman" w:eastAsia="仿宋_GB2312" w:cs="Times New Roman"/>
          <w:snapToGrid w:val="0"/>
          <w:color w:val="auto"/>
          <w:kern w:val="0"/>
          <w:sz w:val="32"/>
          <w:szCs w:val="32"/>
        </w:rPr>
        <w:t>有条件的地区，</w:t>
      </w:r>
      <w:r>
        <w:rPr>
          <w:rFonts w:hint="eastAsia" w:ascii="Times New Roman" w:hAnsi="Times New Roman" w:eastAsia="仿宋_GB2312" w:cs="Times New Roman"/>
          <w:snapToGrid w:val="0"/>
          <w:color w:val="auto"/>
          <w:kern w:val="0"/>
          <w:sz w:val="32"/>
          <w:szCs w:val="32"/>
          <w:highlight w:val="none"/>
          <w:lang w:eastAsia="zh-CN"/>
        </w:rPr>
        <w:t>根据学校疫情风险对高二学生增加胸片筛查</w:t>
      </w:r>
      <w:r>
        <w:rPr>
          <w:rFonts w:hint="default" w:ascii="Times New Roman" w:hAnsi="Times New Roman" w:eastAsia="仿宋_GB2312" w:cs="Times New Roman"/>
          <w:snapToGrid w:val="0"/>
          <w:color w:val="auto"/>
          <w:kern w:val="0"/>
          <w:sz w:val="32"/>
          <w:szCs w:val="32"/>
        </w:rPr>
        <w:t>。积极推广便捷有效的筛查技术。</w:t>
      </w:r>
    </w:p>
    <w:p w14:paraId="4E51CC0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b/>
          <w:bCs/>
          <w:snapToGrid w:val="0"/>
          <w:color w:val="auto"/>
          <w:kern w:val="0"/>
          <w:sz w:val="32"/>
          <w:szCs w:val="32"/>
        </w:rPr>
        <w:t>3</w:t>
      </w:r>
      <w:r>
        <w:rPr>
          <w:rFonts w:hint="eastAsia" w:ascii="仿宋_GB2312" w:hAnsi="仿宋_GB2312" w:eastAsia="仿宋_GB2312" w:cs="仿宋_GB2312"/>
          <w:b/>
          <w:bCs/>
          <w:snapToGrid w:val="0"/>
          <w:color w:val="auto"/>
          <w:kern w:val="0"/>
          <w:sz w:val="32"/>
          <w:szCs w:val="32"/>
        </w:rPr>
        <w:t>.</w:t>
      </w:r>
      <w:r>
        <w:rPr>
          <w:rFonts w:hint="default" w:ascii="Times New Roman" w:hAnsi="Times New Roman" w:eastAsia="仿宋_GB2312" w:cs="Times New Roman"/>
          <w:b/>
          <w:bCs/>
          <w:snapToGrid w:val="0"/>
          <w:color w:val="auto"/>
          <w:kern w:val="0"/>
          <w:sz w:val="32"/>
          <w:szCs w:val="32"/>
        </w:rPr>
        <w:t>推广应用新技术。</w:t>
      </w:r>
      <w:r>
        <w:rPr>
          <w:rFonts w:hint="eastAsia" w:eastAsia="仿宋_GB2312" w:cs="Times New Roman"/>
          <w:b w:val="0"/>
          <w:bCs w:val="0"/>
          <w:snapToGrid w:val="0"/>
          <w:color w:val="auto"/>
          <w:kern w:val="0"/>
          <w:sz w:val="32"/>
          <w:szCs w:val="32"/>
          <w:lang w:val="en-US" w:eastAsia="zh-CN"/>
        </w:rPr>
        <w:t>在</w:t>
      </w:r>
      <w:r>
        <w:rPr>
          <w:rFonts w:hint="default" w:ascii="Times New Roman" w:hAnsi="Times New Roman" w:eastAsia="仿宋_GB2312" w:cs="Times New Roman"/>
          <w:snapToGrid w:val="0"/>
          <w:color w:val="auto"/>
          <w:kern w:val="0"/>
          <w:sz w:val="32"/>
          <w:szCs w:val="32"/>
        </w:rPr>
        <w:t>定点医疗机构对疑似肺结核患者首选分子生物学</w:t>
      </w:r>
      <w:r>
        <w:rPr>
          <w:rFonts w:hint="eastAsia" w:eastAsia="仿宋_GB2312" w:cs="Times New Roman"/>
          <w:snapToGrid w:val="0"/>
          <w:color w:val="auto"/>
          <w:kern w:val="0"/>
          <w:sz w:val="32"/>
          <w:szCs w:val="32"/>
          <w:lang w:eastAsia="zh-CN"/>
        </w:rPr>
        <w:t>检测技术进行</w:t>
      </w:r>
      <w:r>
        <w:rPr>
          <w:rFonts w:hint="default" w:ascii="Times New Roman" w:hAnsi="Times New Roman" w:eastAsia="仿宋_GB2312" w:cs="Times New Roman"/>
          <w:snapToGrid w:val="0"/>
          <w:color w:val="auto"/>
          <w:kern w:val="0"/>
          <w:sz w:val="32"/>
          <w:szCs w:val="32"/>
        </w:rPr>
        <w:t>诊断</w:t>
      </w:r>
      <w:r>
        <w:rPr>
          <w:rFonts w:hint="eastAsia"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lang w:eastAsia="zh-CN"/>
        </w:rPr>
        <w:t>县</w:t>
      </w:r>
      <w:r>
        <w:rPr>
          <w:rFonts w:hint="default" w:ascii="Times New Roman" w:hAnsi="Times New Roman" w:eastAsia="仿宋_GB2312" w:cs="Times New Roman"/>
          <w:snapToGrid w:val="0"/>
          <w:color w:val="auto"/>
          <w:kern w:val="0"/>
          <w:sz w:val="32"/>
          <w:szCs w:val="32"/>
        </w:rPr>
        <w:t>级</w:t>
      </w:r>
      <w:r>
        <w:rPr>
          <w:rFonts w:hint="eastAsia" w:eastAsia="仿宋_GB2312" w:cs="Times New Roman"/>
          <w:snapToGrid w:val="0"/>
          <w:color w:val="auto"/>
          <w:kern w:val="0"/>
          <w:sz w:val="32"/>
          <w:szCs w:val="32"/>
          <w:lang w:val="en-US" w:eastAsia="zh-CN"/>
        </w:rPr>
        <w:t>及以上</w:t>
      </w:r>
      <w:r>
        <w:rPr>
          <w:rFonts w:hint="default" w:ascii="Times New Roman" w:hAnsi="Times New Roman" w:eastAsia="仿宋_GB2312" w:cs="Times New Roman"/>
          <w:snapToGrid w:val="0"/>
          <w:color w:val="auto"/>
          <w:kern w:val="0"/>
          <w:sz w:val="32"/>
          <w:szCs w:val="32"/>
        </w:rPr>
        <w:t>定点医疗机构</w:t>
      </w:r>
      <w:r>
        <w:rPr>
          <w:rFonts w:hint="eastAsia" w:eastAsia="仿宋_GB2312" w:cs="Times New Roman"/>
          <w:snapToGrid w:val="0"/>
          <w:color w:val="auto"/>
          <w:kern w:val="0"/>
          <w:sz w:val="32"/>
          <w:szCs w:val="32"/>
          <w:lang w:val="en-US" w:eastAsia="zh-CN"/>
        </w:rPr>
        <w:t>须</w:t>
      </w:r>
      <w:r>
        <w:rPr>
          <w:rFonts w:hint="eastAsia" w:ascii="Times New Roman" w:hAnsi="Times New Roman" w:eastAsia="仿宋_GB2312" w:cs="Times New Roman"/>
          <w:snapToGrid w:val="0"/>
          <w:color w:val="auto"/>
          <w:kern w:val="0"/>
          <w:sz w:val="32"/>
          <w:szCs w:val="32"/>
          <w:lang w:eastAsia="zh-CN"/>
        </w:rPr>
        <w:t>配</w:t>
      </w:r>
      <w:r>
        <w:rPr>
          <w:rFonts w:hint="default" w:ascii="Times New Roman" w:hAnsi="Times New Roman" w:eastAsia="仿宋_GB2312" w:cs="Times New Roman"/>
          <w:snapToGrid w:val="0"/>
          <w:color w:val="auto"/>
          <w:kern w:val="0"/>
          <w:sz w:val="32"/>
          <w:szCs w:val="32"/>
        </w:rPr>
        <w:t>备分子生物学耐药检测</w:t>
      </w:r>
      <w:r>
        <w:rPr>
          <w:rFonts w:hint="eastAsia" w:eastAsia="仿宋_GB2312" w:cs="Times New Roman"/>
          <w:snapToGrid w:val="0"/>
          <w:color w:val="auto"/>
          <w:kern w:val="0"/>
          <w:sz w:val="32"/>
          <w:szCs w:val="32"/>
          <w:lang w:val="en-US" w:eastAsia="zh-CN"/>
        </w:rPr>
        <w:t>设备</w:t>
      </w:r>
      <w:r>
        <w:rPr>
          <w:rFonts w:hint="eastAsia" w:eastAsia="仿宋_GB2312" w:cs="Times New Roman"/>
          <w:snapToGrid w:val="0"/>
          <w:color w:val="auto"/>
          <w:kern w:val="0"/>
          <w:sz w:val="32"/>
          <w:szCs w:val="32"/>
          <w:lang w:eastAsia="zh-CN"/>
        </w:rPr>
        <w:t>，</w:t>
      </w:r>
      <w:r>
        <w:rPr>
          <w:rFonts w:hint="eastAsia" w:eastAsia="仿宋_GB2312" w:cs="Times New Roman"/>
          <w:snapToGrid w:val="0"/>
          <w:color w:val="auto"/>
          <w:kern w:val="0"/>
          <w:sz w:val="32"/>
          <w:szCs w:val="32"/>
          <w:lang w:val="en-US" w:eastAsia="zh-CN"/>
        </w:rPr>
        <w:t>开展耐药筛查</w:t>
      </w:r>
      <w:r>
        <w:rPr>
          <w:rFonts w:hint="default" w:ascii="Times New Roman" w:hAnsi="Times New Roman" w:eastAsia="仿宋_GB2312" w:cs="Times New Roman"/>
          <w:snapToGrid w:val="0"/>
          <w:color w:val="auto"/>
          <w:kern w:val="0"/>
          <w:sz w:val="32"/>
          <w:szCs w:val="32"/>
        </w:rPr>
        <w:t>。</w:t>
      </w:r>
      <w:r>
        <w:rPr>
          <w:rFonts w:hint="eastAsia" w:eastAsia="仿宋_GB2312" w:cs="Times New Roman"/>
          <w:snapToGrid w:val="0"/>
          <w:color w:val="auto"/>
          <w:kern w:val="0"/>
          <w:sz w:val="32"/>
          <w:szCs w:val="32"/>
          <w:lang w:eastAsia="zh-CN"/>
        </w:rPr>
        <w:t>推动</w:t>
      </w:r>
      <w:r>
        <w:rPr>
          <w:rFonts w:hint="default" w:ascii="Times New Roman" w:hAnsi="Times New Roman" w:eastAsia="仿宋_GB2312" w:cs="Times New Roman"/>
          <w:snapToGrid w:val="0"/>
          <w:color w:val="auto"/>
          <w:kern w:val="0"/>
          <w:sz w:val="32"/>
          <w:szCs w:val="32"/>
        </w:rPr>
        <w:t>非定点医疗机构</w:t>
      </w:r>
      <w:r>
        <w:rPr>
          <w:rFonts w:hint="eastAsia" w:eastAsia="仿宋_GB2312" w:cs="Times New Roman"/>
          <w:snapToGrid w:val="0"/>
          <w:color w:val="auto"/>
          <w:kern w:val="0"/>
          <w:sz w:val="32"/>
          <w:szCs w:val="32"/>
          <w:lang w:val="en-US" w:eastAsia="zh-CN"/>
        </w:rPr>
        <w:t>开展</w:t>
      </w:r>
      <w:r>
        <w:rPr>
          <w:rFonts w:hint="default" w:ascii="Times New Roman" w:hAnsi="Times New Roman" w:eastAsia="仿宋_GB2312" w:cs="Times New Roman"/>
          <w:snapToGrid w:val="0"/>
          <w:color w:val="auto"/>
          <w:kern w:val="0"/>
          <w:sz w:val="32"/>
          <w:szCs w:val="32"/>
        </w:rPr>
        <w:t>结核病病原学检测。在基层医疗卫生机构推广应用远程会诊和基于人工智能数字化影像学辅助诊断系统，提高诊断效率和质量。</w:t>
      </w:r>
    </w:p>
    <w:p w14:paraId="6146D149">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楷体_GB2312" w:hAnsi="楷体_GB2312" w:eastAsia="楷体_GB2312" w:cs="楷体_GB2312"/>
          <w:snapToGrid w:val="0"/>
          <w:color w:val="auto"/>
          <w:kern w:val="0"/>
          <w:sz w:val="32"/>
          <w:szCs w:val="32"/>
          <w:lang w:eastAsia="zh-CN"/>
        </w:rPr>
      </w:pPr>
      <w:r>
        <w:rPr>
          <w:rFonts w:hint="eastAsia" w:ascii="楷体_GB2312" w:hAnsi="楷体_GB2312" w:eastAsia="楷体_GB2312" w:cs="楷体_GB2312"/>
          <w:snapToGrid w:val="0"/>
          <w:color w:val="auto"/>
          <w:kern w:val="0"/>
          <w:sz w:val="32"/>
          <w:szCs w:val="32"/>
        </w:rPr>
        <w:t>（三）规范</w:t>
      </w:r>
      <w:r>
        <w:rPr>
          <w:rFonts w:hint="eastAsia" w:ascii="楷体_GB2312" w:hAnsi="楷体_GB2312" w:eastAsia="楷体_GB2312" w:cs="楷体_GB2312"/>
          <w:snapToGrid w:val="0"/>
          <w:color w:val="auto"/>
          <w:kern w:val="0"/>
          <w:sz w:val="32"/>
          <w:szCs w:val="32"/>
          <w:lang w:eastAsia="zh-CN"/>
        </w:rPr>
        <w:t>全程</w:t>
      </w:r>
      <w:r>
        <w:rPr>
          <w:rFonts w:hint="eastAsia" w:ascii="楷体_GB2312" w:hAnsi="楷体_GB2312" w:eastAsia="楷体_GB2312" w:cs="楷体_GB2312"/>
          <w:snapToGrid w:val="0"/>
          <w:color w:val="auto"/>
          <w:kern w:val="0"/>
          <w:sz w:val="32"/>
          <w:szCs w:val="32"/>
        </w:rPr>
        <w:t>治疗管理，提高治疗效果</w:t>
      </w:r>
      <w:r>
        <w:rPr>
          <w:rFonts w:hint="eastAsia" w:ascii="楷体_GB2312" w:hAnsi="楷体_GB2312" w:eastAsia="楷体_GB2312" w:cs="楷体_GB2312"/>
          <w:snapToGrid w:val="0"/>
          <w:color w:val="auto"/>
          <w:kern w:val="0"/>
          <w:sz w:val="32"/>
          <w:szCs w:val="32"/>
          <w:lang w:eastAsia="zh-CN"/>
        </w:rPr>
        <w:t>。</w:t>
      </w:r>
    </w:p>
    <w:p w14:paraId="206983F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b/>
          <w:bCs/>
          <w:snapToGrid w:val="0"/>
          <w:color w:val="auto"/>
          <w:kern w:val="0"/>
          <w:sz w:val="32"/>
          <w:szCs w:val="32"/>
        </w:rPr>
        <w:t>1</w:t>
      </w:r>
      <w:r>
        <w:rPr>
          <w:rFonts w:hint="default" w:ascii="仿宋_GB2312" w:hAnsi="仿宋_GB2312" w:eastAsia="仿宋_GB2312" w:cs="仿宋_GB2312"/>
          <w:b/>
          <w:bCs/>
          <w:snapToGrid w:val="0"/>
          <w:color w:val="auto"/>
          <w:kern w:val="0"/>
          <w:sz w:val="32"/>
          <w:szCs w:val="32"/>
        </w:rPr>
        <w:t>.</w:t>
      </w:r>
      <w:r>
        <w:rPr>
          <w:rFonts w:hint="default" w:ascii="Times New Roman" w:hAnsi="Times New Roman" w:eastAsia="仿宋_GB2312" w:cs="Times New Roman"/>
          <w:b/>
          <w:bCs/>
          <w:snapToGrid w:val="0"/>
          <w:color w:val="auto"/>
          <w:kern w:val="0"/>
          <w:sz w:val="32"/>
          <w:szCs w:val="32"/>
        </w:rPr>
        <w:t>开展规范治疗。</w:t>
      </w:r>
      <w:r>
        <w:rPr>
          <w:rFonts w:hint="default" w:ascii="Times New Roman" w:hAnsi="Times New Roman" w:eastAsia="仿宋_GB2312" w:cs="Times New Roman"/>
          <w:snapToGrid w:val="0"/>
          <w:color w:val="auto"/>
          <w:kern w:val="0"/>
          <w:sz w:val="32"/>
          <w:szCs w:val="32"/>
        </w:rPr>
        <w:t>严格落实结核病防治工作技术规范和指南等</w:t>
      </w:r>
      <w:r>
        <w:rPr>
          <w:rFonts w:hint="eastAsia" w:eastAsia="仿宋_GB2312" w:cs="Times New Roman"/>
          <w:snapToGrid w:val="0"/>
          <w:color w:val="auto"/>
          <w:kern w:val="0"/>
          <w:sz w:val="32"/>
          <w:szCs w:val="32"/>
          <w:lang w:val="en-US" w:eastAsia="zh-CN"/>
        </w:rPr>
        <w:t>要求</w:t>
      </w:r>
      <w:r>
        <w:rPr>
          <w:rFonts w:hint="default" w:ascii="Times New Roman" w:hAnsi="Times New Roman" w:eastAsia="仿宋_GB2312" w:cs="Times New Roman"/>
          <w:snapToGrid w:val="0"/>
          <w:color w:val="auto"/>
          <w:kern w:val="0"/>
          <w:sz w:val="32"/>
          <w:szCs w:val="32"/>
        </w:rPr>
        <w:t>，加强对医务人员结核病治疗的培训</w:t>
      </w:r>
      <w:r>
        <w:rPr>
          <w:rFonts w:hint="eastAsia" w:eastAsia="仿宋_GB2312" w:cs="Times New Roman"/>
          <w:snapToGrid w:val="0"/>
          <w:color w:val="auto"/>
          <w:kern w:val="0"/>
          <w:sz w:val="32"/>
          <w:szCs w:val="32"/>
          <w:lang w:eastAsia="zh-CN"/>
        </w:rPr>
        <w:t>和指导。</w:t>
      </w:r>
      <w:r>
        <w:rPr>
          <w:rFonts w:hint="default" w:ascii="Times New Roman" w:hAnsi="Times New Roman" w:eastAsia="仿宋_GB2312" w:cs="Times New Roman"/>
          <w:snapToGrid w:val="0"/>
          <w:color w:val="auto"/>
          <w:kern w:val="0"/>
          <w:sz w:val="32"/>
          <w:szCs w:val="32"/>
        </w:rPr>
        <w:t>健全结核病诊疗专家组会诊制度</w:t>
      </w:r>
      <w:r>
        <w:rPr>
          <w:rFonts w:hint="eastAsia" w:ascii="Times New Roman" w:hAnsi="Times New Roman" w:eastAsia="仿宋_GB2312" w:cs="Times New Roman"/>
          <w:snapToGrid w:val="0"/>
          <w:color w:val="auto"/>
          <w:kern w:val="0"/>
          <w:sz w:val="32"/>
          <w:szCs w:val="32"/>
          <w:lang w:eastAsia="zh-CN"/>
        </w:rPr>
        <w:t>，强化质量控制。加强对医疗机构和医务人员的监督管理，持续提升规范治疗水平。</w:t>
      </w:r>
      <w:r>
        <w:rPr>
          <w:rFonts w:hint="default" w:ascii="Times New Roman" w:hAnsi="Times New Roman" w:eastAsia="仿宋_GB2312" w:cs="Times New Roman"/>
          <w:snapToGrid w:val="0"/>
          <w:color w:val="auto"/>
          <w:kern w:val="0"/>
          <w:sz w:val="32"/>
          <w:szCs w:val="32"/>
        </w:rPr>
        <w:t>对传染性肺结核患者进行规范隔离治疗，</w:t>
      </w:r>
      <w:r>
        <w:rPr>
          <w:rFonts w:hint="eastAsia" w:ascii="Times New Roman" w:hAnsi="Times New Roman" w:eastAsia="仿宋_GB2312" w:cs="Times New Roman"/>
          <w:snapToGrid w:val="0"/>
          <w:color w:val="auto"/>
          <w:kern w:val="0"/>
          <w:sz w:val="32"/>
          <w:szCs w:val="32"/>
          <w:lang w:eastAsia="zh-CN"/>
        </w:rPr>
        <w:t>鼓励有条件的地区实施住院隔离治疗</w:t>
      </w:r>
      <w:r>
        <w:rPr>
          <w:rFonts w:hint="default" w:ascii="Times New Roman" w:hAnsi="Times New Roman" w:eastAsia="仿宋_GB2312" w:cs="Times New Roman"/>
          <w:snapToGrid w:val="0"/>
          <w:color w:val="auto"/>
          <w:kern w:val="0"/>
          <w:sz w:val="32"/>
          <w:szCs w:val="32"/>
        </w:rPr>
        <w:t>。利福平敏感肺结核患者优先选择标准化治疗方案，</w:t>
      </w:r>
      <w:r>
        <w:rPr>
          <w:rFonts w:hint="eastAsia" w:eastAsia="仿宋_GB2312" w:cs="Times New Roman"/>
          <w:snapToGrid w:val="0"/>
          <w:color w:val="auto"/>
          <w:kern w:val="0"/>
          <w:sz w:val="32"/>
          <w:szCs w:val="32"/>
          <w:lang w:eastAsia="zh-CN"/>
        </w:rPr>
        <w:t>推荐</w:t>
      </w:r>
      <w:r>
        <w:rPr>
          <w:rFonts w:hint="default" w:ascii="Times New Roman" w:hAnsi="Times New Roman" w:eastAsia="仿宋_GB2312" w:cs="Times New Roman"/>
          <w:snapToGrid w:val="0"/>
          <w:color w:val="auto"/>
          <w:kern w:val="0"/>
          <w:sz w:val="32"/>
          <w:szCs w:val="32"/>
        </w:rPr>
        <w:t>使用固定剂量复合制剂。</w:t>
      </w:r>
    </w:p>
    <w:p w14:paraId="5201B3A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b/>
          <w:bCs/>
          <w:snapToGrid w:val="0"/>
          <w:color w:val="auto"/>
          <w:kern w:val="0"/>
          <w:sz w:val="32"/>
          <w:szCs w:val="32"/>
        </w:rPr>
        <w:t>2</w:t>
      </w:r>
      <w:r>
        <w:rPr>
          <w:rFonts w:hint="default" w:ascii="仿宋_GB2312" w:hAnsi="仿宋_GB2312" w:eastAsia="仿宋_GB2312" w:cs="仿宋_GB2312"/>
          <w:b/>
          <w:bCs/>
          <w:snapToGrid w:val="0"/>
          <w:color w:val="auto"/>
          <w:kern w:val="0"/>
          <w:sz w:val="32"/>
          <w:szCs w:val="32"/>
        </w:rPr>
        <w:t>.</w:t>
      </w:r>
      <w:r>
        <w:rPr>
          <w:rFonts w:hint="default" w:ascii="Times New Roman" w:hAnsi="Times New Roman" w:eastAsia="仿宋_GB2312" w:cs="Times New Roman"/>
          <w:b/>
          <w:bCs/>
          <w:snapToGrid w:val="0"/>
          <w:color w:val="auto"/>
          <w:kern w:val="0"/>
          <w:sz w:val="32"/>
          <w:szCs w:val="32"/>
        </w:rPr>
        <w:t>落实全程管理。</w:t>
      </w:r>
      <w:r>
        <w:rPr>
          <w:rFonts w:hint="default" w:ascii="Times New Roman" w:hAnsi="Times New Roman" w:eastAsia="仿宋_GB2312" w:cs="Times New Roman"/>
          <w:snapToGrid w:val="0"/>
          <w:color w:val="auto"/>
          <w:kern w:val="0"/>
          <w:sz w:val="32"/>
          <w:szCs w:val="32"/>
        </w:rPr>
        <w:t>进一步完善结核病患者登记管理机制</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优化</w:t>
      </w:r>
      <w:r>
        <w:rPr>
          <w:rFonts w:hint="eastAsia" w:eastAsia="仿宋_GB2312" w:cs="Times New Roman"/>
          <w:snapToGrid w:val="0"/>
          <w:color w:val="auto"/>
          <w:kern w:val="0"/>
          <w:sz w:val="32"/>
          <w:szCs w:val="32"/>
          <w:lang w:eastAsia="zh-CN"/>
        </w:rPr>
        <w:t>跨</w:t>
      </w:r>
      <w:r>
        <w:rPr>
          <w:rFonts w:hint="default" w:ascii="Times New Roman" w:hAnsi="Times New Roman" w:eastAsia="仿宋_GB2312" w:cs="Times New Roman"/>
          <w:snapToGrid w:val="0"/>
          <w:color w:val="auto"/>
          <w:kern w:val="0"/>
          <w:sz w:val="32"/>
          <w:szCs w:val="32"/>
        </w:rPr>
        <w:t>医疗机构</w:t>
      </w:r>
      <w:r>
        <w:rPr>
          <w:rFonts w:hint="eastAsia" w:eastAsia="仿宋_GB2312" w:cs="Times New Roman"/>
          <w:snapToGrid w:val="0"/>
          <w:color w:val="auto"/>
          <w:kern w:val="0"/>
          <w:sz w:val="32"/>
          <w:szCs w:val="32"/>
          <w:lang w:eastAsia="zh-CN"/>
        </w:rPr>
        <w:t>、跨</w:t>
      </w:r>
      <w:r>
        <w:rPr>
          <w:rFonts w:hint="default" w:ascii="Times New Roman" w:hAnsi="Times New Roman" w:eastAsia="仿宋_GB2312" w:cs="Times New Roman"/>
          <w:snapToGrid w:val="0"/>
          <w:color w:val="auto"/>
          <w:kern w:val="0"/>
          <w:sz w:val="32"/>
          <w:szCs w:val="32"/>
        </w:rPr>
        <w:t>社区的管理服务流程，</w:t>
      </w:r>
      <w:r>
        <w:rPr>
          <w:rFonts w:hint="eastAsia" w:ascii="Times New Roman" w:hAnsi="Times New Roman" w:eastAsia="仿宋_GB2312" w:cs="Times New Roman"/>
          <w:snapToGrid w:val="0"/>
          <w:color w:val="auto"/>
          <w:kern w:val="0"/>
          <w:sz w:val="32"/>
          <w:szCs w:val="32"/>
          <w:lang w:eastAsia="zh-CN"/>
        </w:rPr>
        <w:t>做好信息衔接，</w:t>
      </w:r>
      <w:r>
        <w:rPr>
          <w:rFonts w:hint="default" w:ascii="Times New Roman" w:hAnsi="Times New Roman" w:eastAsia="仿宋_GB2312" w:cs="Times New Roman"/>
          <w:snapToGrid w:val="0"/>
          <w:color w:val="auto"/>
          <w:kern w:val="0"/>
          <w:sz w:val="32"/>
          <w:szCs w:val="32"/>
        </w:rPr>
        <w:t>提供覆盖筛查、诊治和随访的全</w:t>
      </w:r>
      <w:r>
        <w:rPr>
          <w:rFonts w:hint="eastAsia" w:eastAsia="仿宋_GB2312" w:cs="Times New Roman"/>
          <w:snapToGrid w:val="0"/>
          <w:color w:val="auto"/>
          <w:kern w:val="0"/>
          <w:sz w:val="32"/>
          <w:szCs w:val="32"/>
          <w:lang w:eastAsia="zh-CN"/>
        </w:rPr>
        <w:t>周期</w:t>
      </w:r>
      <w:r>
        <w:rPr>
          <w:rFonts w:hint="default" w:ascii="Times New Roman" w:hAnsi="Times New Roman" w:eastAsia="仿宋_GB2312" w:cs="Times New Roman"/>
          <w:snapToGrid w:val="0"/>
          <w:color w:val="auto"/>
          <w:kern w:val="0"/>
          <w:sz w:val="32"/>
          <w:szCs w:val="32"/>
        </w:rPr>
        <w:t>管理服务。结合国家基本公共卫生服务项目和家庭医生签约服务，落实基层医疗卫生机构对肺结核患者的健康管理服务。</w:t>
      </w:r>
      <w:r>
        <w:rPr>
          <w:rFonts w:hint="eastAsia" w:eastAsia="仿宋_GB2312" w:cs="Times New Roman"/>
          <w:snapToGrid w:val="0"/>
          <w:color w:val="auto"/>
          <w:kern w:val="0"/>
          <w:sz w:val="32"/>
          <w:szCs w:val="32"/>
          <w:lang w:eastAsia="zh-CN"/>
        </w:rPr>
        <w:t>利用信息化手段创新管理方式。</w:t>
      </w:r>
      <w:r>
        <w:rPr>
          <w:rFonts w:hint="default" w:ascii="Times New Roman" w:hAnsi="Times New Roman" w:eastAsia="仿宋_GB2312" w:cs="Times New Roman"/>
          <w:snapToGrid w:val="0"/>
          <w:color w:val="auto"/>
          <w:kern w:val="0"/>
          <w:sz w:val="32"/>
          <w:szCs w:val="32"/>
        </w:rPr>
        <w:t>为患者提供必要的心理</w:t>
      </w:r>
      <w:r>
        <w:rPr>
          <w:rFonts w:hint="eastAsia"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营养等社会关怀服务，提高患者服药依从性。</w:t>
      </w:r>
    </w:p>
    <w:p w14:paraId="3284B93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b/>
          <w:bCs/>
          <w:snapToGrid w:val="0"/>
          <w:color w:val="auto"/>
          <w:kern w:val="0"/>
          <w:sz w:val="32"/>
          <w:szCs w:val="32"/>
        </w:rPr>
        <w:t>3</w:t>
      </w:r>
      <w:r>
        <w:rPr>
          <w:rFonts w:hint="default" w:ascii="仿宋_GB2312" w:hAnsi="仿宋_GB2312" w:eastAsia="仿宋_GB2312" w:cs="仿宋_GB2312"/>
          <w:b/>
          <w:bCs/>
          <w:snapToGrid w:val="0"/>
          <w:color w:val="auto"/>
          <w:kern w:val="0"/>
          <w:sz w:val="32"/>
          <w:szCs w:val="32"/>
        </w:rPr>
        <w:t>.</w:t>
      </w:r>
      <w:r>
        <w:rPr>
          <w:rFonts w:hint="default" w:ascii="Times New Roman" w:hAnsi="Times New Roman" w:eastAsia="仿宋_GB2312" w:cs="Times New Roman"/>
          <w:b/>
          <w:bCs/>
          <w:snapToGrid w:val="0"/>
          <w:color w:val="auto"/>
          <w:kern w:val="0"/>
          <w:sz w:val="32"/>
          <w:szCs w:val="32"/>
        </w:rPr>
        <w:t>强化耐药防治。</w:t>
      </w:r>
      <w:r>
        <w:rPr>
          <w:rFonts w:hint="default" w:ascii="Times New Roman" w:hAnsi="Times New Roman" w:eastAsia="仿宋_GB2312" w:cs="Times New Roman"/>
          <w:snapToGrid w:val="0"/>
          <w:color w:val="auto"/>
          <w:kern w:val="0"/>
          <w:sz w:val="32"/>
          <w:szCs w:val="32"/>
        </w:rPr>
        <w:t>加大</w:t>
      </w:r>
      <w:r>
        <w:rPr>
          <w:rFonts w:hint="default" w:ascii="Times New Roman" w:hAnsi="Times New Roman" w:eastAsia="仿宋_GB2312" w:cs="Times New Roman"/>
          <w:snapToGrid w:val="0"/>
          <w:color w:val="auto"/>
          <w:kern w:val="0"/>
          <w:sz w:val="32"/>
          <w:szCs w:val="32"/>
          <w:lang w:eastAsia="zh-CN"/>
        </w:rPr>
        <w:t>县</w:t>
      </w:r>
      <w:r>
        <w:rPr>
          <w:rFonts w:hint="default" w:ascii="Times New Roman" w:hAnsi="Times New Roman" w:eastAsia="仿宋_GB2312" w:cs="Times New Roman"/>
          <w:snapToGrid w:val="0"/>
          <w:color w:val="auto"/>
          <w:kern w:val="0"/>
          <w:sz w:val="32"/>
          <w:szCs w:val="32"/>
        </w:rPr>
        <w:t>级定点医疗机构耐药筛查力度，做到耐药发现关口前移。</w:t>
      </w:r>
      <w:r>
        <w:rPr>
          <w:rFonts w:hint="eastAsia" w:eastAsia="仿宋_GB2312" w:cs="Times New Roman"/>
          <w:snapToGrid w:val="0"/>
          <w:color w:val="auto"/>
          <w:kern w:val="0"/>
          <w:sz w:val="32"/>
          <w:szCs w:val="32"/>
          <w:lang w:eastAsia="zh-CN"/>
        </w:rPr>
        <w:t>省、</w:t>
      </w:r>
      <w:r>
        <w:rPr>
          <w:rFonts w:hint="default" w:ascii="Times New Roman" w:hAnsi="Times New Roman" w:eastAsia="仿宋_GB2312" w:cs="Times New Roman"/>
          <w:snapToGrid w:val="0"/>
          <w:color w:val="auto"/>
          <w:kern w:val="0"/>
          <w:sz w:val="32"/>
          <w:szCs w:val="32"/>
        </w:rPr>
        <w:t>市级定点医疗机构要开展二线抗结核药物分子生物学耐药检测、传统药敏试验等工作，合理制定方案，积极推广验证有效的抗结核新药以及短程、全口服治疗方案。进一步强化耐药患者的规范隔离和分类救治。</w:t>
      </w:r>
      <w:r>
        <w:rPr>
          <w:rFonts w:hint="default" w:ascii="Times New Roman" w:hAnsi="Times New Roman" w:eastAsia="仿宋_GB2312" w:cs="Times New Roman"/>
          <w:snapToGrid w:val="0"/>
          <w:color w:val="auto"/>
          <w:kern w:val="0"/>
          <w:sz w:val="32"/>
          <w:szCs w:val="32"/>
          <w:lang w:val="en-US" w:eastAsia="zh-CN"/>
        </w:rPr>
        <w:t>推进</w:t>
      </w:r>
      <w:r>
        <w:rPr>
          <w:rFonts w:hint="default" w:ascii="Times New Roman" w:hAnsi="Times New Roman" w:eastAsia="仿宋_GB2312" w:cs="Times New Roman"/>
          <w:snapToGrid w:val="0"/>
          <w:color w:val="auto"/>
          <w:kern w:val="0"/>
          <w:sz w:val="32"/>
          <w:szCs w:val="32"/>
        </w:rPr>
        <w:t>耐药结核病患者个案全程管理</w:t>
      </w:r>
      <w:r>
        <w:rPr>
          <w:rFonts w:hint="default" w:ascii="Times New Roman" w:hAnsi="Times New Roman" w:eastAsia="仿宋_GB2312" w:cs="Times New Roman"/>
          <w:snapToGrid w:val="0"/>
          <w:color w:val="auto"/>
          <w:kern w:val="0"/>
          <w:sz w:val="32"/>
          <w:szCs w:val="32"/>
          <w:highlight w:val="none"/>
        </w:rPr>
        <w:t>，</w:t>
      </w:r>
      <w:r>
        <w:rPr>
          <w:rFonts w:hint="eastAsia" w:eastAsia="仿宋_GB2312" w:cs="Times New Roman"/>
          <w:snapToGrid w:val="0"/>
          <w:color w:val="auto"/>
          <w:kern w:val="0"/>
          <w:sz w:val="32"/>
          <w:szCs w:val="32"/>
          <w:highlight w:val="none"/>
          <w:lang w:val="en-US" w:eastAsia="zh-CN"/>
        </w:rPr>
        <w:t>加强</w:t>
      </w:r>
      <w:r>
        <w:rPr>
          <w:rFonts w:hint="default" w:ascii="Times New Roman" w:hAnsi="Times New Roman" w:eastAsia="仿宋_GB2312" w:cs="Times New Roman"/>
          <w:snapToGrid w:val="0"/>
          <w:color w:val="auto"/>
          <w:kern w:val="0"/>
          <w:sz w:val="32"/>
          <w:szCs w:val="32"/>
          <w:highlight w:val="none"/>
        </w:rPr>
        <w:t>耐药患者登记、诊疗</w:t>
      </w:r>
      <w:r>
        <w:rPr>
          <w:rFonts w:hint="eastAsia"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随访和督导服药等</w:t>
      </w:r>
      <w:r>
        <w:rPr>
          <w:rFonts w:hint="eastAsia" w:eastAsia="仿宋_GB2312" w:cs="Times New Roman"/>
          <w:snapToGrid w:val="0"/>
          <w:color w:val="auto"/>
          <w:kern w:val="0"/>
          <w:sz w:val="32"/>
          <w:szCs w:val="32"/>
          <w:highlight w:val="none"/>
          <w:lang w:eastAsia="zh-CN"/>
        </w:rPr>
        <w:t>工作</w:t>
      </w:r>
      <w:r>
        <w:rPr>
          <w:rFonts w:hint="default" w:ascii="Times New Roman" w:hAnsi="Times New Roman" w:eastAsia="仿宋_GB2312" w:cs="Times New Roman"/>
          <w:snapToGrid w:val="0"/>
          <w:color w:val="auto"/>
          <w:kern w:val="0"/>
          <w:sz w:val="32"/>
          <w:szCs w:val="32"/>
        </w:rPr>
        <w:t>。</w:t>
      </w:r>
    </w:p>
    <w:p w14:paraId="0780A7B0">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楷体_GB2312" w:hAnsi="楷体_GB2312" w:eastAsia="楷体_GB2312" w:cs="楷体_GB2312"/>
          <w:snapToGrid w:val="0"/>
          <w:color w:val="auto"/>
          <w:kern w:val="0"/>
          <w:sz w:val="32"/>
          <w:szCs w:val="32"/>
        </w:rPr>
      </w:pPr>
      <w:r>
        <w:rPr>
          <w:rFonts w:hint="eastAsia" w:ascii="楷体_GB2312" w:hAnsi="楷体_GB2312" w:eastAsia="楷体_GB2312" w:cs="楷体_GB2312"/>
          <w:snapToGrid w:val="0"/>
          <w:color w:val="auto"/>
          <w:kern w:val="0"/>
          <w:sz w:val="32"/>
          <w:szCs w:val="32"/>
        </w:rPr>
        <w:t>（四）</w:t>
      </w:r>
      <w:bookmarkStart w:id="0" w:name="_Hlk187770039"/>
      <w:r>
        <w:rPr>
          <w:rFonts w:hint="eastAsia" w:ascii="楷体_GB2312" w:hAnsi="楷体_GB2312" w:eastAsia="楷体_GB2312" w:cs="楷体_GB2312"/>
          <w:snapToGrid w:val="0"/>
          <w:color w:val="auto"/>
          <w:kern w:val="0"/>
          <w:sz w:val="32"/>
          <w:szCs w:val="32"/>
          <w:lang w:eastAsia="zh-CN"/>
        </w:rPr>
        <w:t>强化</w:t>
      </w:r>
      <w:r>
        <w:rPr>
          <w:rFonts w:hint="eastAsia" w:ascii="楷体_GB2312" w:hAnsi="楷体_GB2312" w:eastAsia="楷体_GB2312" w:cs="楷体_GB2312"/>
          <w:snapToGrid w:val="0"/>
          <w:color w:val="auto"/>
          <w:kern w:val="0"/>
          <w:sz w:val="32"/>
          <w:szCs w:val="32"/>
        </w:rPr>
        <w:t>预防</w:t>
      </w:r>
      <w:r>
        <w:rPr>
          <w:rFonts w:hint="eastAsia" w:ascii="楷体_GB2312" w:hAnsi="楷体_GB2312" w:eastAsia="楷体_GB2312" w:cs="楷体_GB2312"/>
          <w:snapToGrid w:val="0"/>
          <w:color w:val="auto"/>
          <w:kern w:val="0"/>
          <w:sz w:val="32"/>
          <w:szCs w:val="32"/>
          <w:lang w:eastAsia="zh-CN"/>
        </w:rPr>
        <w:t>干预</w:t>
      </w:r>
      <w:r>
        <w:rPr>
          <w:rFonts w:hint="eastAsia" w:ascii="楷体_GB2312" w:hAnsi="楷体_GB2312" w:eastAsia="楷体_GB2312" w:cs="楷体_GB2312"/>
          <w:snapToGrid w:val="0"/>
          <w:color w:val="auto"/>
          <w:kern w:val="0"/>
          <w:sz w:val="32"/>
          <w:szCs w:val="32"/>
        </w:rPr>
        <w:t>，</w:t>
      </w:r>
      <w:r>
        <w:rPr>
          <w:rFonts w:hint="eastAsia" w:ascii="楷体_GB2312" w:hAnsi="楷体_GB2312" w:eastAsia="楷体_GB2312" w:cs="楷体_GB2312"/>
          <w:snapToGrid w:val="0"/>
          <w:color w:val="auto"/>
          <w:kern w:val="0"/>
          <w:sz w:val="32"/>
          <w:szCs w:val="32"/>
          <w:lang w:eastAsia="zh-CN"/>
        </w:rPr>
        <w:t>降低</w:t>
      </w:r>
      <w:r>
        <w:rPr>
          <w:rFonts w:hint="eastAsia" w:ascii="楷体_GB2312" w:hAnsi="楷体_GB2312" w:eastAsia="楷体_GB2312" w:cs="楷体_GB2312"/>
          <w:snapToGrid w:val="0"/>
          <w:color w:val="auto"/>
          <w:kern w:val="0"/>
          <w:sz w:val="32"/>
          <w:szCs w:val="32"/>
        </w:rPr>
        <w:t>发病与传播</w:t>
      </w:r>
      <w:bookmarkEnd w:id="0"/>
      <w:r>
        <w:rPr>
          <w:rFonts w:hint="eastAsia" w:ascii="楷体_GB2312" w:hAnsi="楷体_GB2312" w:eastAsia="楷体_GB2312" w:cs="楷体_GB2312"/>
          <w:snapToGrid w:val="0"/>
          <w:color w:val="auto"/>
          <w:kern w:val="0"/>
          <w:sz w:val="32"/>
          <w:szCs w:val="32"/>
          <w:lang w:eastAsia="zh-CN"/>
        </w:rPr>
        <w:t>风险。</w:t>
      </w:r>
    </w:p>
    <w:p w14:paraId="083EF1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b/>
          <w:bCs/>
          <w:snapToGrid w:val="0"/>
          <w:color w:val="auto"/>
          <w:kern w:val="0"/>
          <w:sz w:val="32"/>
          <w:szCs w:val="32"/>
        </w:rPr>
        <w:t>1</w:t>
      </w:r>
      <w:r>
        <w:rPr>
          <w:rFonts w:hint="default" w:ascii="仿宋_GB2312" w:hAnsi="仿宋_GB2312" w:eastAsia="仿宋_GB2312" w:cs="仿宋_GB2312"/>
          <w:b/>
          <w:bCs/>
          <w:snapToGrid w:val="0"/>
          <w:color w:val="auto"/>
          <w:kern w:val="0"/>
          <w:sz w:val="32"/>
          <w:szCs w:val="32"/>
        </w:rPr>
        <w:t>.</w:t>
      </w:r>
      <w:r>
        <w:rPr>
          <w:rFonts w:hint="default" w:ascii="Times New Roman" w:hAnsi="Times New Roman" w:eastAsia="仿宋_GB2312" w:cs="Times New Roman"/>
          <w:b/>
          <w:bCs/>
          <w:snapToGrid w:val="0"/>
          <w:color w:val="auto"/>
          <w:kern w:val="0"/>
          <w:sz w:val="32"/>
          <w:szCs w:val="32"/>
          <w:lang w:eastAsia="zh-CN"/>
        </w:rPr>
        <w:t>推进</w:t>
      </w:r>
      <w:r>
        <w:rPr>
          <w:rFonts w:hint="default" w:ascii="Times New Roman" w:hAnsi="Times New Roman" w:eastAsia="仿宋_GB2312" w:cs="Times New Roman"/>
          <w:b/>
          <w:bCs/>
          <w:snapToGrid w:val="0"/>
          <w:color w:val="auto"/>
          <w:kern w:val="0"/>
          <w:sz w:val="32"/>
          <w:szCs w:val="32"/>
        </w:rPr>
        <w:t>预防接种。</w:t>
      </w:r>
      <w:r>
        <w:rPr>
          <w:rFonts w:hint="eastAsia" w:eastAsia="仿宋_GB2312" w:cs="Times New Roman"/>
          <w:b w:val="0"/>
          <w:bCs w:val="0"/>
          <w:snapToGrid w:val="0"/>
          <w:color w:val="auto"/>
          <w:kern w:val="0"/>
          <w:sz w:val="32"/>
          <w:szCs w:val="32"/>
          <w:lang w:eastAsia="zh-CN"/>
        </w:rPr>
        <w:t>优化</w:t>
      </w:r>
      <w:r>
        <w:rPr>
          <w:rFonts w:hint="default" w:ascii="Times New Roman" w:hAnsi="Times New Roman" w:eastAsia="仿宋_GB2312" w:cs="Times New Roman"/>
          <w:b w:val="0"/>
          <w:bCs w:val="0"/>
          <w:snapToGrid w:val="0"/>
          <w:color w:val="auto"/>
          <w:kern w:val="0"/>
          <w:sz w:val="32"/>
          <w:szCs w:val="32"/>
        </w:rPr>
        <w:t>适龄儿童卡介苗接种</w:t>
      </w:r>
      <w:r>
        <w:rPr>
          <w:rFonts w:hint="eastAsia" w:eastAsia="仿宋_GB2312" w:cs="Times New Roman"/>
          <w:b w:val="0"/>
          <w:bCs w:val="0"/>
          <w:snapToGrid w:val="0"/>
          <w:color w:val="auto"/>
          <w:kern w:val="0"/>
          <w:sz w:val="32"/>
          <w:szCs w:val="32"/>
          <w:lang w:eastAsia="zh-CN"/>
        </w:rPr>
        <w:t>服务，维持高接种</w:t>
      </w:r>
      <w:r>
        <w:rPr>
          <w:rFonts w:hint="default" w:ascii="Times New Roman" w:hAnsi="Times New Roman" w:eastAsia="仿宋_GB2312" w:cs="Times New Roman"/>
          <w:b w:val="0"/>
          <w:bCs w:val="0"/>
          <w:snapToGrid w:val="0"/>
          <w:color w:val="auto"/>
          <w:kern w:val="0"/>
          <w:sz w:val="32"/>
          <w:szCs w:val="32"/>
        </w:rPr>
        <w:t>覆盖</w:t>
      </w:r>
      <w:r>
        <w:rPr>
          <w:rFonts w:hint="eastAsia" w:eastAsia="仿宋_GB2312" w:cs="Times New Roman"/>
          <w:b w:val="0"/>
          <w:bCs w:val="0"/>
          <w:snapToGrid w:val="0"/>
          <w:color w:val="auto"/>
          <w:kern w:val="0"/>
          <w:sz w:val="32"/>
          <w:szCs w:val="32"/>
          <w:lang w:eastAsia="zh-CN"/>
        </w:rPr>
        <w:t>率</w:t>
      </w:r>
      <w:r>
        <w:rPr>
          <w:rFonts w:hint="default" w:ascii="Times New Roman" w:hAnsi="Times New Roman" w:eastAsia="仿宋_GB2312" w:cs="Times New Roman"/>
          <w:snapToGrid w:val="0"/>
          <w:color w:val="auto"/>
          <w:kern w:val="0"/>
          <w:sz w:val="32"/>
          <w:szCs w:val="32"/>
        </w:rPr>
        <w:t>，开展疫苗接种效果评估。加强对接种质量的监管，确保疫苗接种的安全性和有效性。</w:t>
      </w:r>
    </w:p>
    <w:p w14:paraId="404909D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b/>
          <w:bCs/>
          <w:snapToGrid w:val="0"/>
          <w:color w:val="auto"/>
          <w:kern w:val="0"/>
          <w:sz w:val="32"/>
          <w:szCs w:val="32"/>
        </w:rPr>
        <w:t>2</w:t>
      </w:r>
      <w:r>
        <w:rPr>
          <w:rFonts w:hint="default" w:ascii="仿宋_GB2312" w:hAnsi="仿宋_GB2312" w:eastAsia="仿宋_GB2312" w:cs="仿宋_GB2312"/>
          <w:b/>
          <w:bCs/>
          <w:snapToGrid w:val="0"/>
          <w:color w:val="auto"/>
          <w:kern w:val="0"/>
          <w:sz w:val="32"/>
          <w:szCs w:val="32"/>
        </w:rPr>
        <w:t>.</w:t>
      </w:r>
      <w:r>
        <w:rPr>
          <w:rFonts w:hint="default" w:ascii="Times New Roman" w:hAnsi="Times New Roman" w:eastAsia="仿宋_GB2312" w:cs="Times New Roman"/>
          <w:b/>
          <w:bCs/>
          <w:snapToGrid w:val="0"/>
          <w:color w:val="auto"/>
          <w:kern w:val="0"/>
          <w:sz w:val="32"/>
          <w:szCs w:val="32"/>
          <w:lang w:eastAsia="zh-CN"/>
        </w:rPr>
        <w:t>加强</w:t>
      </w:r>
      <w:r>
        <w:rPr>
          <w:rFonts w:hint="default" w:ascii="Times New Roman" w:hAnsi="Times New Roman" w:eastAsia="仿宋_GB2312" w:cs="Times New Roman"/>
          <w:b/>
          <w:bCs/>
          <w:snapToGrid w:val="0"/>
          <w:color w:val="auto"/>
          <w:kern w:val="0"/>
          <w:sz w:val="32"/>
          <w:szCs w:val="32"/>
        </w:rPr>
        <w:t>感染控制。</w:t>
      </w:r>
      <w:r>
        <w:rPr>
          <w:rFonts w:hint="default" w:ascii="Times New Roman" w:hAnsi="Times New Roman" w:eastAsia="仿宋_GB2312" w:cs="Times New Roman"/>
          <w:snapToGrid w:val="0"/>
          <w:color w:val="auto"/>
          <w:kern w:val="0"/>
          <w:sz w:val="32"/>
          <w:szCs w:val="32"/>
        </w:rPr>
        <w:t>规范</w:t>
      </w:r>
      <w:r>
        <w:rPr>
          <w:rFonts w:hint="eastAsia" w:eastAsia="仿宋_GB2312" w:cs="Times New Roman"/>
          <w:snapToGrid w:val="0"/>
          <w:color w:val="auto"/>
          <w:kern w:val="0"/>
          <w:sz w:val="32"/>
          <w:szCs w:val="32"/>
          <w:lang w:eastAsia="zh-CN"/>
        </w:rPr>
        <w:t>执行</w:t>
      </w:r>
      <w:r>
        <w:rPr>
          <w:rFonts w:hint="default" w:ascii="Times New Roman" w:hAnsi="Times New Roman" w:eastAsia="仿宋_GB2312" w:cs="Times New Roman"/>
          <w:snapToGrid w:val="0"/>
          <w:color w:val="auto"/>
          <w:kern w:val="0"/>
          <w:sz w:val="32"/>
          <w:szCs w:val="32"/>
        </w:rPr>
        <w:t>传染性肺结核患者停工停课和复工复课制度。强化个人防护</w:t>
      </w:r>
      <w:r>
        <w:rPr>
          <w:rFonts w:hint="eastAsia" w:eastAsia="仿宋_GB2312" w:cs="Times New Roman"/>
          <w:snapToGrid w:val="0"/>
          <w:color w:val="auto"/>
          <w:kern w:val="0"/>
          <w:sz w:val="32"/>
          <w:szCs w:val="32"/>
          <w:lang w:eastAsia="zh-CN"/>
        </w:rPr>
        <w:t>宣教</w:t>
      </w:r>
      <w:r>
        <w:rPr>
          <w:rFonts w:hint="default" w:ascii="Times New Roman" w:hAnsi="Times New Roman" w:eastAsia="仿宋_GB2312" w:cs="Times New Roman"/>
          <w:snapToGrid w:val="0"/>
          <w:color w:val="auto"/>
          <w:kern w:val="0"/>
          <w:sz w:val="32"/>
          <w:szCs w:val="32"/>
        </w:rPr>
        <w:t>，教育引导患者避免到人员密集场所，科学佩戴医用外科口罩。对居家治疗的肺结核患者家庭环境进行感染风险评估，指导患者及家属做好家庭内感染控制。</w:t>
      </w:r>
    </w:p>
    <w:p w14:paraId="764306B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b/>
          <w:bCs/>
          <w:snapToGrid w:val="0"/>
          <w:color w:val="auto"/>
          <w:kern w:val="0"/>
          <w:sz w:val="32"/>
          <w:szCs w:val="32"/>
        </w:rPr>
        <w:t>3</w:t>
      </w:r>
      <w:r>
        <w:rPr>
          <w:rFonts w:hint="default" w:ascii="仿宋_GB2312" w:hAnsi="仿宋_GB2312" w:eastAsia="仿宋_GB2312" w:cs="仿宋_GB2312"/>
          <w:b/>
          <w:bCs/>
          <w:snapToGrid w:val="0"/>
          <w:color w:val="auto"/>
          <w:kern w:val="0"/>
          <w:sz w:val="32"/>
          <w:szCs w:val="32"/>
        </w:rPr>
        <w:t>.</w:t>
      </w:r>
      <w:r>
        <w:rPr>
          <w:rFonts w:hint="default" w:ascii="Times New Roman" w:hAnsi="Times New Roman" w:eastAsia="仿宋_GB2312" w:cs="Times New Roman"/>
          <w:b/>
          <w:bCs/>
          <w:snapToGrid w:val="0"/>
          <w:color w:val="auto"/>
          <w:kern w:val="0"/>
          <w:sz w:val="32"/>
          <w:szCs w:val="32"/>
        </w:rPr>
        <w:t>推行结核潜伏感染预防性干预。</w:t>
      </w:r>
      <w:r>
        <w:rPr>
          <w:rFonts w:hint="default" w:ascii="Times New Roman" w:hAnsi="Times New Roman" w:eastAsia="仿宋_GB2312" w:cs="Times New Roman"/>
          <w:snapToGrid w:val="0"/>
          <w:color w:val="auto"/>
          <w:kern w:val="0"/>
          <w:sz w:val="32"/>
          <w:szCs w:val="32"/>
        </w:rPr>
        <w:t>因地制宜设立结核病预防性治疗门诊。对肺结核患者密切接触者、艾滋病病毒感染者、长期使用免疫抑制剂者等高风险人群开展结核感染筛查，对潜伏感染者开展预防性治疗等干预，降低结核病发病风险。</w:t>
      </w:r>
    </w:p>
    <w:p w14:paraId="7E28C320">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楷体_GB2312" w:hAnsi="楷体_GB2312" w:eastAsia="楷体_GB2312" w:cs="楷体_GB2312"/>
          <w:snapToGrid w:val="0"/>
          <w:color w:val="auto"/>
          <w:kern w:val="0"/>
          <w:sz w:val="32"/>
          <w:szCs w:val="32"/>
          <w:lang w:eastAsia="zh-CN"/>
        </w:rPr>
      </w:pPr>
      <w:r>
        <w:rPr>
          <w:rFonts w:hint="eastAsia" w:ascii="楷体_GB2312" w:hAnsi="楷体_GB2312" w:eastAsia="楷体_GB2312" w:cs="楷体_GB2312"/>
          <w:snapToGrid w:val="0"/>
          <w:color w:val="auto"/>
          <w:kern w:val="0"/>
          <w:sz w:val="32"/>
          <w:szCs w:val="32"/>
        </w:rPr>
        <w:t>（五）强化政策</w:t>
      </w:r>
      <w:r>
        <w:rPr>
          <w:rFonts w:hint="eastAsia" w:ascii="楷体_GB2312" w:hAnsi="楷体_GB2312" w:eastAsia="楷体_GB2312" w:cs="楷体_GB2312"/>
          <w:snapToGrid w:val="0"/>
          <w:color w:val="auto"/>
          <w:kern w:val="0"/>
          <w:sz w:val="32"/>
          <w:szCs w:val="32"/>
          <w:lang w:val="en-US" w:eastAsia="zh-CN"/>
        </w:rPr>
        <w:t>支持</w:t>
      </w:r>
      <w:r>
        <w:rPr>
          <w:rFonts w:hint="eastAsia" w:ascii="楷体_GB2312" w:hAnsi="楷体_GB2312" w:eastAsia="楷体_GB2312" w:cs="楷体_GB2312"/>
          <w:snapToGrid w:val="0"/>
          <w:color w:val="auto"/>
          <w:kern w:val="0"/>
          <w:sz w:val="32"/>
          <w:szCs w:val="32"/>
        </w:rPr>
        <w:t>，减轻患者经济负担</w:t>
      </w:r>
      <w:r>
        <w:rPr>
          <w:rFonts w:hint="eastAsia" w:ascii="楷体_GB2312" w:hAnsi="楷体_GB2312" w:eastAsia="楷体_GB2312" w:cs="楷体_GB2312"/>
          <w:snapToGrid w:val="0"/>
          <w:color w:val="auto"/>
          <w:kern w:val="0"/>
          <w:sz w:val="32"/>
          <w:szCs w:val="32"/>
          <w:lang w:eastAsia="zh-CN"/>
        </w:rPr>
        <w:t>。</w:t>
      </w:r>
    </w:p>
    <w:p w14:paraId="40F9319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rPr>
        <w:t>1</w:t>
      </w:r>
      <w:r>
        <w:rPr>
          <w:rFonts w:hint="eastAsia" w:ascii="仿宋_GB2312" w:hAnsi="仿宋_GB2312" w:eastAsia="仿宋_GB2312" w:cs="仿宋_GB2312"/>
          <w:b/>
          <w:bCs/>
          <w:snapToGrid w:val="0"/>
          <w:color w:val="auto"/>
          <w:kern w:val="0"/>
          <w:sz w:val="32"/>
          <w:szCs w:val="32"/>
        </w:rPr>
        <w:t>.</w:t>
      </w:r>
      <w:r>
        <w:rPr>
          <w:rFonts w:hint="default" w:ascii="Times New Roman" w:hAnsi="Times New Roman" w:eastAsia="仿宋_GB2312" w:cs="Times New Roman"/>
          <w:b/>
          <w:bCs/>
          <w:snapToGrid w:val="0"/>
          <w:color w:val="auto"/>
          <w:kern w:val="0"/>
          <w:sz w:val="32"/>
          <w:szCs w:val="32"/>
        </w:rPr>
        <w:t>降低患者经济负担。</w:t>
      </w:r>
      <w:r>
        <w:rPr>
          <w:rFonts w:hint="default" w:ascii="Times New Roman" w:hAnsi="Times New Roman" w:eastAsia="仿宋_GB2312" w:cs="Times New Roman"/>
          <w:snapToGrid w:val="0"/>
          <w:color w:val="auto"/>
          <w:kern w:val="0"/>
          <w:sz w:val="32"/>
          <w:szCs w:val="32"/>
          <w:highlight w:val="none"/>
        </w:rPr>
        <w:t>坚持多渠道筹资原则，做好医疗保障政策与公共卫生项目的统筹衔接，</w:t>
      </w:r>
      <w:r>
        <w:rPr>
          <w:rFonts w:hint="eastAsia" w:ascii="Times New Roman" w:hAnsi="Times New Roman" w:eastAsia="仿宋_GB2312" w:cs="Times New Roman"/>
          <w:snapToGrid w:val="0"/>
          <w:color w:val="auto"/>
          <w:kern w:val="0"/>
          <w:sz w:val="32"/>
          <w:szCs w:val="32"/>
          <w:lang w:eastAsia="zh-CN"/>
        </w:rPr>
        <w:t>按照国家医保局部署，将符合规定的抗结核药品及诊疗项目按程序纳入医保支付范围，切实降低结核病患者经济负担</w:t>
      </w:r>
      <w:r>
        <w:rPr>
          <w:rFonts w:hint="default" w:ascii="Times New Roman" w:hAnsi="Times New Roman" w:eastAsia="仿宋_GB2312" w:cs="Times New Roman"/>
          <w:snapToGrid w:val="0"/>
          <w:color w:val="auto"/>
          <w:kern w:val="0"/>
          <w:sz w:val="32"/>
          <w:szCs w:val="32"/>
          <w:highlight w:val="none"/>
        </w:rPr>
        <w:t>。</w:t>
      </w:r>
    </w:p>
    <w:p w14:paraId="20ADA03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rPr>
        <w:t>2</w:t>
      </w:r>
      <w:r>
        <w:rPr>
          <w:rFonts w:hint="eastAsia" w:ascii="仿宋_GB2312" w:hAnsi="仿宋_GB2312" w:eastAsia="仿宋_GB2312" w:cs="仿宋_GB2312"/>
          <w:b/>
          <w:bCs/>
          <w:snapToGrid w:val="0"/>
          <w:color w:val="auto"/>
          <w:kern w:val="0"/>
          <w:sz w:val="32"/>
          <w:szCs w:val="32"/>
          <w:highlight w:val="none"/>
        </w:rPr>
        <w:t>.</w:t>
      </w:r>
      <w:r>
        <w:rPr>
          <w:rFonts w:hint="default" w:ascii="Times New Roman" w:hAnsi="Times New Roman" w:eastAsia="仿宋_GB2312" w:cs="Times New Roman"/>
          <w:b/>
          <w:bCs/>
          <w:snapToGrid w:val="0"/>
          <w:color w:val="auto"/>
          <w:kern w:val="0"/>
          <w:sz w:val="32"/>
          <w:szCs w:val="32"/>
        </w:rPr>
        <w:t>加强关怀救助</w:t>
      </w:r>
      <w:r>
        <w:rPr>
          <w:rFonts w:hint="default" w:ascii="Times New Roman" w:hAnsi="Times New Roman" w:eastAsia="仿宋_GB2312" w:cs="Times New Roman"/>
          <w:b/>
          <w:bCs/>
          <w:snapToGrid w:val="0"/>
          <w:color w:val="auto"/>
          <w:kern w:val="0"/>
          <w:sz w:val="32"/>
          <w:szCs w:val="32"/>
          <w:highlight w:val="none"/>
        </w:rPr>
        <w:t>。</w:t>
      </w:r>
      <w:r>
        <w:rPr>
          <w:rFonts w:hint="default" w:ascii="Times New Roman" w:hAnsi="Times New Roman" w:eastAsia="仿宋_GB2312" w:cs="Times New Roman"/>
          <w:snapToGrid w:val="0"/>
          <w:color w:val="auto"/>
          <w:kern w:val="0"/>
          <w:sz w:val="32"/>
          <w:szCs w:val="32"/>
          <w:highlight w:val="none"/>
        </w:rPr>
        <w:t>统筹救助资源，增强兜底功能，将符合条件的患者纳入社会救助范围，</w:t>
      </w:r>
      <w:r>
        <w:rPr>
          <w:rFonts w:hint="eastAsia" w:ascii="Times New Roman" w:hAnsi="Times New Roman" w:eastAsia="仿宋_GB2312" w:cs="Times New Roman"/>
          <w:snapToGrid w:val="0"/>
          <w:color w:val="auto"/>
          <w:kern w:val="0"/>
          <w:sz w:val="32"/>
          <w:szCs w:val="32"/>
          <w:highlight w:val="none"/>
          <w:lang w:eastAsia="zh-CN"/>
        </w:rPr>
        <w:t>按规定落实</w:t>
      </w:r>
      <w:r>
        <w:rPr>
          <w:rFonts w:hint="default" w:ascii="Times New Roman" w:hAnsi="Times New Roman" w:eastAsia="仿宋_GB2312" w:cs="Times New Roman"/>
          <w:snapToGrid w:val="0"/>
          <w:color w:val="auto"/>
          <w:kern w:val="0"/>
          <w:sz w:val="32"/>
          <w:szCs w:val="32"/>
          <w:highlight w:val="none"/>
        </w:rPr>
        <w:t>社会救助措施</w:t>
      </w:r>
      <w:r>
        <w:rPr>
          <w:rFonts w:hint="eastAsia"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引导社会力量予以帮扶</w:t>
      </w:r>
      <w:r>
        <w:rPr>
          <w:rFonts w:hint="eastAsia"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切实减轻患者医疗费用和基本生活负担。</w:t>
      </w:r>
    </w:p>
    <w:p w14:paraId="0402135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rPr>
        <w:t>3</w:t>
      </w:r>
      <w:r>
        <w:rPr>
          <w:rFonts w:hint="eastAsia" w:ascii="仿宋_GB2312" w:hAnsi="仿宋_GB2312" w:eastAsia="仿宋_GB2312" w:cs="仿宋_GB2312"/>
          <w:b/>
          <w:bCs/>
          <w:snapToGrid w:val="0"/>
          <w:color w:val="auto"/>
          <w:kern w:val="0"/>
          <w:sz w:val="32"/>
          <w:szCs w:val="32"/>
          <w:highlight w:val="none"/>
        </w:rPr>
        <w:t>.</w:t>
      </w:r>
      <w:r>
        <w:rPr>
          <w:rFonts w:hint="default" w:ascii="Times New Roman" w:hAnsi="Times New Roman" w:eastAsia="仿宋_GB2312" w:cs="Times New Roman"/>
          <w:b/>
          <w:bCs/>
          <w:snapToGrid w:val="0"/>
          <w:color w:val="auto"/>
          <w:kern w:val="0"/>
          <w:sz w:val="32"/>
          <w:szCs w:val="32"/>
          <w:highlight w:val="none"/>
        </w:rPr>
        <w:t>做好监测帮扶。</w:t>
      </w:r>
      <w:r>
        <w:rPr>
          <w:rFonts w:hint="default" w:ascii="Times New Roman" w:hAnsi="Times New Roman" w:eastAsia="仿宋_GB2312" w:cs="Times New Roman"/>
          <w:snapToGrid w:val="0"/>
          <w:color w:val="auto"/>
          <w:kern w:val="0"/>
          <w:sz w:val="32"/>
          <w:szCs w:val="32"/>
          <w:highlight w:val="none"/>
        </w:rPr>
        <w:t>将有</w:t>
      </w:r>
      <w:r>
        <w:rPr>
          <w:rFonts w:hint="default" w:ascii="Times New Roman" w:hAnsi="Times New Roman" w:eastAsia="仿宋_GB2312" w:cs="Times New Roman"/>
          <w:snapToGrid w:val="0"/>
          <w:color w:val="auto"/>
          <w:kern w:val="0"/>
          <w:sz w:val="32"/>
          <w:szCs w:val="32"/>
          <w:highlight w:val="none"/>
          <w:lang w:val="en-US" w:eastAsia="zh-CN"/>
        </w:rPr>
        <w:t>因病</w:t>
      </w:r>
      <w:r>
        <w:rPr>
          <w:rFonts w:hint="default" w:ascii="Times New Roman" w:hAnsi="Times New Roman" w:eastAsia="仿宋_GB2312" w:cs="Times New Roman"/>
          <w:snapToGrid w:val="0"/>
          <w:color w:val="auto"/>
          <w:kern w:val="0"/>
          <w:sz w:val="32"/>
          <w:szCs w:val="32"/>
          <w:highlight w:val="none"/>
        </w:rPr>
        <w:t>返贫致贫风险的患者及时识别为监测对象，因人因户制定切实可行的帮扶计划，加强精准帮扶，结合</w:t>
      </w:r>
      <w:r>
        <w:rPr>
          <w:rFonts w:hint="eastAsia" w:eastAsia="仿宋_GB2312" w:cs="Times New Roman"/>
          <w:snapToGrid w:val="0"/>
          <w:color w:val="auto"/>
          <w:kern w:val="0"/>
          <w:sz w:val="32"/>
          <w:szCs w:val="32"/>
          <w:lang w:eastAsia="zh-CN"/>
        </w:rPr>
        <w:t>卫生健康“百千万工程”</w:t>
      </w:r>
      <w:r>
        <w:rPr>
          <w:rFonts w:hint="eastAsia" w:eastAsia="仿宋_GB2312" w:cs="Times New Roman"/>
          <w:snapToGrid w:val="0"/>
          <w:color w:val="auto"/>
          <w:kern w:val="0"/>
          <w:sz w:val="32"/>
          <w:szCs w:val="32"/>
          <w:highlight w:val="none"/>
          <w:lang w:eastAsia="zh-CN"/>
        </w:rPr>
        <w:t>和</w:t>
      </w:r>
      <w:r>
        <w:rPr>
          <w:rFonts w:hint="default" w:ascii="Times New Roman" w:hAnsi="Times New Roman" w:eastAsia="仿宋_GB2312" w:cs="Times New Roman"/>
          <w:snapToGrid w:val="0"/>
          <w:color w:val="auto"/>
          <w:kern w:val="0"/>
          <w:sz w:val="32"/>
          <w:szCs w:val="32"/>
          <w:highlight w:val="none"/>
        </w:rPr>
        <w:t>健康乡村建设，及时做好分类救治等健康服务，防范化解因病返贫致贫风险。</w:t>
      </w:r>
    </w:p>
    <w:p w14:paraId="4C9FFA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eastAsia" w:ascii="楷体_GB2312" w:hAnsi="楷体_GB2312" w:eastAsia="楷体_GB2312" w:cs="楷体_GB2312"/>
          <w:b w:val="0"/>
          <w:bCs w:val="0"/>
          <w:snapToGrid w:val="0"/>
          <w:color w:val="auto"/>
          <w:kern w:val="0"/>
          <w:sz w:val="32"/>
          <w:szCs w:val="32"/>
          <w:lang w:val="en-US" w:eastAsia="zh-CN"/>
        </w:rPr>
      </w:pPr>
      <w:r>
        <w:rPr>
          <w:rFonts w:hint="eastAsia" w:ascii="楷体_GB2312" w:hAnsi="楷体_GB2312" w:eastAsia="楷体_GB2312" w:cs="楷体_GB2312"/>
          <w:snapToGrid w:val="0"/>
          <w:color w:val="auto"/>
          <w:kern w:val="0"/>
          <w:sz w:val="32"/>
          <w:szCs w:val="32"/>
        </w:rPr>
        <w:t>（</w:t>
      </w:r>
      <w:r>
        <w:rPr>
          <w:rFonts w:hint="eastAsia" w:ascii="楷体_GB2312" w:hAnsi="楷体_GB2312" w:eastAsia="楷体_GB2312" w:cs="楷体_GB2312"/>
          <w:snapToGrid w:val="0"/>
          <w:color w:val="auto"/>
          <w:kern w:val="0"/>
          <w:sz w:val="32"/>
          <w:szCs w:val="32"/>
          <w:lang w:val="en-US" w:eastAsia="zh-CN"/>
        </w:rPr>
        <w:t>六</w:t>
      </w:r>
      <w:r>
        <w:rPr>
          <w:rFonts w:hint="eastAsia" w:ascii="楷体_GB2312" w:hAnsi="楷体_GB2312" w:eastAsia="楷体_GB2312" w:cs="楷体_GB2312"/>
          <w:snapToGrid w:val="0"/>
          <w:color w:val="auto"/>
          <w:kern w:val="0"/>
          <w:sz w:val="32"/>
          <w:szCs w:val="32"/>
        </w:rPr>
        <w:t>）</w:t>
      </w:r>
      <w:r>
        <w:rPr>
          <w:rFonts w:hint="eastAsia" w:ascii="楷体_GB2312" w:hAnsi="楷体_GB2312" w:eastAsia="楷体_GB2312" w:cs="楷体_GB2312"/>
          <w:snapToGrid w:val="0"/>
          <w:color w:val="auto"/>
          <w:kern w:val="0"/>
          <w:sz w:val="32"/>
          <w:szCs w:val="32"/>
          <w:lang w:val="en-US" w:eastAsia="zh-CN"/>
        </w:rPr>
        <w:t>优化</w:t>
      </w:r>
      <w:r>
        <w:rPr>
          <w:rFonts w:hint="eastAsia" w:ascii="楷体_GB2312" w:hAnsi="楷体_GB2312" w:eastAsia="楷体_GB2312" w:cs="楷体_GB2312"/>
          <w:b w:val="0"/>
          <w:bCs w:val="0"/>
          <w:snapToGrid w:val="0"/>
          <w:color w:val="auto"/>
          <w:kern w:val="0"/>
          <w:sz w:val="32"/>
          <w:szCs w:val="32"/>
          <w:highlight w:val="none"/>
          <w:lang w:val="en-US" w:eastAsia="zh-CN"/>
        </w:rPr>
        <w:t>工作机制，加强流动人口</w:t>
      </w:r>
      <w:r>
        <w:rPr>
          <w:rFonts w:hint="eastAsia" w:ascii="楷体_GB2312" w:hAnsi="楷体_GB2312" w:eastAsia="楷体_GB2312" w:cs="楷体_GB2312"/>
          <w:b w:val="0"/>
          <w:bCs w:val="0"/>
          <w:snapToGrid w:val="0"/>
          <w:color w:val="auto"/>
          <w:kern w:val="0"/>
          <w:sz w:val="32"/>
          <w:szCs w:val="32"/>
          <w:lang w:val="en-US" w:eastAsia="zh-CN"/>
        </w:rPr>
        <w:t>管理。</w:t>
      </w:r>
    </w:p>
    <w:p w14:paraId="0A4D512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b w:val="0"/>
          <w:bCs w:val="0"/>
          <w:snapToGrid w:val="0"/>
          <w:color w:val="auto"/>
          <w:kern w:val="0"/>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rPr>
        <w:t>1</w:t>
      </w:r>
      <w:r>
        <w:rPr>
          <w:rFonts w:hint="default" w:ascii="仿宋_GB2312" w:hAnsi="仿宋_GB2312" w:eastAsia="仿宋_GB2312" w:cs="仿宋_GB2312"/>
          <w:b/>
          <w:bCs/>
          <w:snapToGrid w:val="0"/>
          <w:color w:val="auto"/>
          <w:kern w:val="0"/>
          <w:sz w:val="32"/>
          <w:szCs w:val="32"/>
          <w:lang w:val="en-US" w:eastAsia="zh-CN"/>
        </w:rPr>
        <w:t>.</w:t>
      </w:r>
      <w:r>
        <w:rPr>
          <w:rFonts w:hint="default" w:ascii="Times New Roman" w:hAnsi="Times New Roman" w:eastAsia="仿宋_GB2312" w:cs="Times New Roman"/>
          <w:b/>
          <w:bCs/>
          <w:snapToGrid w:val="0"/>
          <w:color w:val="auto"/>
          <w:kern w:val="0"/>
          <w:sz w:val="32"/>
          <w:szCs w:val="32"/>
          <w:highlight w:val="none"/>
          <w:lang w:val="en-US" w:eastAsia="zh-CN"/>
        </w:rPr>
        <w:t>加强跟踪管理。</w:t>
      </w:r>
      <w:r>
        <w:rPr>
          <w:rFonts w:hint="eastAsia" w:eastAsia="仿宋_GB2312" w:cs="Times New Roman"/>
          <w:b w:val="0"/>
          <w:bCs w:val="0"/>
          <w:snapToGrid w:val="0"/>
          <w:color w:val="auto"/>
          <w:kern w:val="0"/>
          <w:sz w:val="32"/>
          <w:szCs w:val="32"/>
          <w:highlight w:val="none"/>
          <w:lang w:val="en-US" w:eastAsia="zh-CN"/>
        </w:rPr>
        <w:t>落实</w:t>
      </w:r>
      <w:r>
        <w:rPr>
          <w:rFonts w:hint="default" w:ascii="Times New Roman" w:hAnsi="Times New Roman" w:eastAsia="仿宋_GB2312" w:cs="Times New Roman"/>
          <w:b w:val="0"/>
          <w:bCs w:val="0"/>
          <w:snapToGrid w:val="0"/>
          <w:color w:val="auto"/>
          <w:kern w:val="0"/>
          <w:sz w:val="32"/>
          <w:szCs w:val="32"/>
          <w:highlight w:val="none"/>
          <w:lang w:val="en-US" w:eastAsia="zh-CN"/>
        </w:rPr>
        <w:t>传染病属地管理原则，做好流动人口结核病患者的发现、报告、治疗、信息登记、转诊追踪和随访管理，</w:t>
      </w:r>
      <w:r>
        <w:rPr>
          <w:rFonts w:hint="default" w:ascii="Times New Roman" w:hAnsi="Times New Roman" w:eastAsia="仿宋_GB2312" w:cs="Times New Roman"/>
          <w:snapToGrid w:val="0"/>
          <w:color w:val="auto"/>
          <w:kern w:val="0"/>
          <w:sz w:val="32"/>
          <w:szCs w:val="32"/>
          <w:highlight w:val="none"/>
          <w:lang w:val="en-US" w:eastAsia="zh-CN"/>
        </w:rPr>
        <w:t>提供与当地居民同等的服务。落实首登记地负责制，</w:t>
      </w:r>
      <w:r>
        <w:rPr>
          <w:rFonts w:hint="default" w:ascii="Times New Roman" w:hAnsi="Times New Roman" w:eastAsia="仿宋_GB2312" w:cs="Times New Roman"/>
          <w:b w:val="0"/>
          <w:bCs w:val="0"/>
          <w:snapToGrid w:val="0"/>
          <w:color w:val="auto"/>
          <w:kern w:val="0"/>
          <w:sz w:val="32"/>
          <w:szCs w:val="32"/>
          <w:highlight w:val="none"/>
          <w:lang w:val="en-US" w:eastAsia="zh-CN"/>
        </w:rPr>
        <w:t>完善</w:t>
      </w:r>
      <w:r>
        <w:rPr>
          <w:rFonts w:hint="default" w:ascii="Times New Roman" w:hAnsi="Times New Roman" w:eastAsia="仿宋_GB2312" w:cs="Times New Roman"/>
          <w:snapToGrid w:val="0"/>
          <w:color w:val="auto"/>
          <w:kern w:val="0"/>
          <w:sz w:val="32"/>
          <w:szCs w:val="32"/>
          <w:highlight w:val="none"/>
          <w:lang w:val="en-US" w:eastAsia="zh-CN"/>
        </w:rPr>
        <w:t>跨区域管理制度</w:t>
      </w:r>
      <w:r>
        <w:rPr>
          <w:rFonts w:hint="eastAsia" w:ascii="Times New Roman" w:hAnsi="Times New Roman" w:eastAsia="仿宋_GB2312" w:cs="Times New Roman"/>
          <w:snapToGrid w:val="0"/>
          <w:color w:val="auto"/>
          <w:kern w:val="0"/>
          <w:sz w:val="32"/>
          <w:szCs w:val="32"/>
          <w:highlight w:val="none"/>
          <w:lang w:val="en-US" w:eastAsia="zh-CN"/>
        </w:rPr>
        <w:t>，实施转入转出机构双向追踪，确保及时到位</w:t>
      </w:r>
      <w:r>
        <w:rPr>
          <w:rFonts w:hint="default" w:ascii="Times New Roman" w:hAnsi="Times New Roman" w:eastAsia="仿宋_GB2312" w:cs="Times New Roman"/>
          <w:snapToGrid w:val="0"/>
          <w:color w:val="auto"/>
          <w:kern w:val="0"/>
          <w:sz w:val="32"/>
          <w:szCs w:val="32"/>
          <w:highlight w:val="none"/>
          <w:lang w:val="en-US" w:eastAsia="zh-CN"/>
        </w:rPr>
        <w:t>。</w:t>
      </w:r>
    </w:p>
    <w:p w14:paraId="00770A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b w:val="0"/>
          <w:bCs w:val="0"/>
          <w:snapToGrid w:val="0"/>
          <w:color w:val="auto"/>
          <w:kern w:val="0"/>
          <w:sz w:val="32"/>
          <w:szCs w:val="32"/>
          <w:highlight w:val="none"/>
          <w:lang w:val="en-US" w:eastAsia="zh-CN"/>
        </w:rPr>
      </w:pPr>
      <w:r>
        <w:rPr>
          <w:rFonts w:hint="default" w:ascii="Times New Roman" w:hAnsi="Times New Roman" w:eastAsia="仿宋_GB2312" w:cs="Times New Roman"/>
          <w:b/>
          <w:bCs/>
          <w:snapToGrid w:val="0"/>
          <w:color w:val="auto"/>
          <w:kern w:val="0"/>
          <w:sz w:val="32"/>
          <w:szCs w:val="32"/>
          <w:lang w:val="en-US" w:eastAsia="zh-CN" w:bidi="ar-SA"/>
        </w:rPr>
        <w:t>2</w:t>
      </w:r>
      <w:r>
        <w:rPr>
          <w:rFonts w:hint="default" w:ascii="仿宋_GB2312" w:hAnsi="仿宋_GB2312" w:eastAsia="仿宋_GB2312" w:cs="仿宋_GB2312"/>
          <w:b/>
          <w:bCs/>
          <w:snapToGrid w:val="0"/>
          <w:color w:val="auto"/>
          <w:kern w:val="0"/>
          <w:sz w:val="32"/>
          <w:szCs w:val="32"/>
          <w:lang w:val="en-US" w:eastAsia="zh-CN"/>
        </w:rPr>
        <w:t>.</w:t>
      </w:r>
      <w:r>
        <w:rPr>
          <w:rFonts w:hint="default" w:ascii="Times New Roman" w:hAnsi="Times New Roman" w:eastAsia="仿宋_GB2312" w:cs="Times New Roman"/>
          <w:b/>
          <w:bCs/>
          <w:snapToGrid w:val="0"/>
          <w:color w:val="auto"/>
          <w:kern w:val="0"/>
          <w:sz w:val="32"/>
          <w:szCs w:val="32"/>
          <w:highlight w:val="none"/>
          <w:lang w:val="en-US" w:eastAsia="zh-CN" w:bidi="ar-SA"/>
        </w:rPr>
        <w:t>落实</w:t>
      </w:r>
      <w:r>
        <w:rPr>
          <w:rFonts w:hint="default" w:ascii="Times New Roman" w:hAnsi="Times New Roman" w:eastAsia="仿宋_GB2312" w:cs="Times New Roman"/>
          <w:b/>
          <w:bCs/>
          <w:snapToGrid w:val="0"/>
          <w:color w:val="auto"/>
          <w:kern w:val="0"/>
          <w:sz w:val="32"/>
          <w:szCs w:val="32"/>
          <w:highlight w:val="none"/>
          <w:lang w:val="en-US" w:eastAsia="zh-CN"/>
        </w:rPr>
        <w:t>保障</w:t>
      </w:r>
      <w:r>
        <w:rPr>
          <w:rFonts w:hint="eastAsia" w:ascii="Times New Roman" w:hAnsi="Times New Roman" w:eastAsia="仿宋_GB2312" w:cs="Times New Roman"/>
          <w:b/>
          <w:bCs/>
          <w:snapToGrid w:val="0"/>
          <w:color w:val="auto"/>
          <w:kern w:val="0"/>
          <w:sz w:val="32"/>
          <w:szCs w:val="32"/>
          <w:highlight w:val="none"/>
          <w:lang w:val="en-US" w:eastAsia="zh-CN"/>
        </w:rPr>
        <w:t>政策</w:t>
      </w:r>
      <w:r>
        <w:rPr>
          <w:rFonts w:hint="default" w:ascii="Times New Roman" w:hAnsi="Times New Roman" w:eastAsia="仿宋_GB2312" w:cs="Times New Roman"/>
          <w:b/>
          <w:bCs/>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推动流动人口结核病患者</w:t>
      </w:r>
      <w:r>
        <w:rPr>
          <w:rFonts w:hint="default" w:ascii="Times New Roman" w:hAnsi="Times New Roman" w:eastAsia="仿宋_GB2312" w:cs="Times New Roman"/>
          <w:b w:val="0"/>
          <w:bCs w:val="0"/>
          <w:snapToGrid w:val="0"/>
          <w:color w:val="auto"/>
          <w:kern w:val="0"/>
          <w:sz w:val="32"/>
          <w:szCs w:val="32"/>
          <w:highlight w:val="none"/>
          <w:lang w:val="en-US" w:eastAsia="zh-CN"/>
        </w:rPr>
        <w:t>医保异地就医直接结算</w:t>
      </w:r>
      <w:r>
        <w:rPr>
          <w:rFonts w:hint="eastAsia" w:ascii="Times New Roman" w:hAnsi="Times New Roman" w:eastAsia="仿宋_GB2312" w:cs="Times New Roman"/>
          <w:b w:val="0"/>
          <w:bCs w:val="0"/>
          <w:snapToGrid w:val="0"/>
          <w:color w:val="auto"/>
          <w:kern w:val="0"/>
          <w:sz w:val="32"/>
          <w:szCs w:val="32"/>
          <w:highlight w:val="none"/>
          <w:lang w:val="en-US" w:eastAsia="zh-CN"/>
        </w:rPr>
        <w:t>，</w:t>
      </w:r>
      <w:r>
        <w:rPr>
          <w:rFonts w:hint="default" w:ascii="Times New Roman" w:hAnsi="Times New Roman" w:eastAsia="仿宋_GB2312" w:cs="Times New Roman"/>
          <w:snapToGrid w:val="0"/>
          <w:color w:val="auto"/>
          <w:kern w:val="0"/>
          <w:sz w:val="32"/>
          <w:szCs w:val="32"/>
          <w:highlight w:val="none"/>
          <w:lang w:val="en-US" w:eastAsia="zh-CN"/>
        </w:rPr>
        <w:t>降低流动人口结核病患者疾病经济负担。</w:t>
      </w:r>
    </w:p>
    <w:p w14:paraId="43D474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snapToGrid w:val="0"/>
          <w:color w:val="auto"/>
          <w:kern w:val="0"/>
          <w:sz w:val="32"/>
          <w:szCs w:val="32"/>
          <w:highlight w:val="none"/>
          <w:lang w:val="en-US" w:eastAsia="zh-CN"/>
        </w:rPr>
      </w:pPr>
      <w:r>
        <w:rPr>
          <w:rFonts w:hint="default" w:ascii="Times New Roman" w:hAnsi="Times New Roman" w:eastAsia="仿宋_GB2312" w:cs="Times New Roman"/>
          <w:b/>
          <w:bCs/>
          <w:snapToGrid w:val="0"/>
          <w:color w:val="auto"/>
          <w:kern w:val="0"/>
          <w:sz w:val="32"/>
          <w:szCs w:val="32"/>
          <w:highlight w:val="none"/>
          <w:lang w:val="en-US" w:eastAsia="zh-CN" w:bidi="ar-SA"/>
        </w:rPr>
        <w:t>3</w:t>
      </w:r>
      <w:r>
        <w:rPr>
          <w:rFonts w:hint="default" w:ascii="仿宋_GB2312" w:hAnsi="仿宋_GB2312" w:eastAsia="仿宋_GB2312" w:cs="仿宋_GB2312"/>
          <w:b/>
          <w:bCs/>
          <w:snapToGrid w:val="0"/>
          <w:color w:val="auto"/>
          <w:kern w:val="0"/>
          <w:sz w:val="32"/>
          <w:szCs w:val="32"/>
          <w:lang w:val="en-US" w:eastAsia="zh-CN"/>
        </w:rPr>
        <w:t>.</w:t>
      </w:r>
      <w:r>
        <w:rPr>
          <w:rFonts w:hint="default" w:ascii="Times New Roman" w:hAnsi="Times New Roman" w:eastAsia="仿宋_GB2312" w:cs="Times New Roman"/>
          <w:b/>
          <w:bCs/>
          <w:snapToGrid w:val="0"/>
          <w:color w:val="auto"/>
          <w:kern w:val="0"/>
          <w:sz w:val="32"/>
          <w:szCs w:val="32"/>
          <w:highlight w:val="none"/>
          <w:lang w:val="en-US" w:eastAsia="zh-CN"/>
        </w:rPr>
        <w:t>开展针对性宣传。</w:t>
      </w:r>
      <w:r>
        <w:rPr>
          <w:rFonts w:hint="default" w:ascii="Times New Roman" w:hAnsi="Times New Roman" w:eastAsia="仿宋_GB2312" w:cs="Times New Roman"/>
          <w:b w:val="0"/>
          <w:bCs w:val="0"/>
          <w:snapToGrid w:val="0"/>
          <w:color w:val="auto"/>
          <w:kern w:val="0"/>
          <w:sz w:val="32"/>
          <w:szCs w:val="32"/>
          <w:highlight w:val="none"/>
          <w:lang w:val="en-US" w:eastAsia="zh-CN"/>
        </w:rPr>
        <w:t>加强流动人口聚集场所的宣传教育</w:t>
      </w:r>
      <w:r>
        <w:rPr>
          <w:rFonts w:hint="eastAsia" w:ascii="Times New Roman" w:hAnsi="Times New Roman" w:eastAsia="仿宋_GB2312" w:cs="Times New Roman"/>
          <w:b w:val="0"/>
          <w:bCs w:val="0"/>
          <w:snapToGrid w:val="0"/>
          <w:color w:val="auto"/>
          <w:kern w:val="0"/>
          <w:sz w:val="32"/>
          <w:szCs w:val="32"/>
          <w:highlight w:val="none"/>
          <w:lang w:val="en-US" w:eastAsia="zh-CN"/>
        </w:rPr>
        <w:t>、义诊咨询</w:t>
      </w:r>
      <w:r>
        <w:rPr>
          <w:rFonts w:hint="default" w:ascii="Times New Roman" w:hAnsi="Times New Roman" w:eastAsia="仿宋_GB2312" w:cs="Times New Roman"/>
          <w:b w:val="0"/>
          <w:bCs w:val="0"/>
          <w:snapToGrid w:val="0"/>
          <w:color w:val="auto"/>
          <w:kern w:val="0"/>
          <w:sz w:val="32"/>
          <w:szCs w:val="32"/>
          <w:highlight w:val="none"/>
          <w:lang w:val="en-US" w:eastAsia="zh-CN"/>
        </w:rPr>
        <w:t>，提高患者和家属防控意识和政策</w:t>
      </w:r>
      <w:r>
        <w:rPr>
          <w:rFonts w:hint="eastAsia" w:eastAsia="仿宋_GB2312" w:cs="Times New Roman"/>
          <w:b w:val="0"/>
          <w:bCs w:val="0"/>
          <w:snapToGrid w:val="0"/>
          <w:color w:val="auto"/>
          <w:kern w:val="0"/>
          <w:sz w:val="32"/>
          <w:szCs w:val="32"/>
          <w:highlight w:val="none"/>
          <w:lang w:val="en-US" w:eastAsia="zh-CN"/>
        </w:rPr>
        <w:t>知晓率</w:t>
      </w:r>
      <w:r>
        <w:rPr>
          <w:rFonts w:hint="default" w:ascii="Times New Roman" w:hAnsi="Times New Roman" w:eastAsia="仿宋_GB2312" w:cs="Times New Roman"/>
          <w:b w:val="0"/>
          <w:bCs w:val="0"/>
          <w:snapToGrid w:val="0"/>
          <w:color w:val="auto"/>
          <w:kern w:val="0"/>
          <w:sz w:val="32"/>
          <w:szCs w:val="32"/>
          <w:highlight w:val="none"/>
          <w:lang w:val="en-US" w:eastAsia="zh-CN"/>
        </w:rPr>
        <w:t>，强化服药督导，提高服药依从性。</w:t>
      </w:r>
    </w:p>
    <w:p w14:paraId="156099B0">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楷体_GB2312" w:hAnsi="楷体_GB2312" w:eastAsia="楷体_GB2312" w:cs="楷体_GB2312"/>
          <w:snapToGrid w:val="0"/>
          <w:color w:val="auto"/>
          <w:kern w:val="0"/>
          <w:sz w:val="32"/>
          <w:szCs w:val="32"/>
          <w:lang w:val="en-US" w:eastAsia="zh-CN"/>
        </w:rPr>
      </w:pPr>
      <w:r>
        <w:rPr>
          <w:rFonts w:hint="eastAsia" w:ascii="楷体_GB2312" w:hAnsi="楷体_GB2312" w:eastAsia="楷体_GB2312" w:cs="楷体_GB2312"/>
          <w:snapToGrid w:val="0"/>
          <w:color w:val="auto"/>
          <w:kern w:val="0"/>
          <w:sz w:val="32"/>
          <w:szCs w:val="32"/>
        </w:rPr>
        <w:t>（</w:t>
      </w:r>
      <w:r>
        <w:rPr>
          <w:rFonts w:hint="eastAsia" w:ascii="楷体_GB2312" w:hAnsi="楷体_GB2312" w:eastAsia="楷体_GB2312" w:cs="楷体_GB2312"/>
          <w:snapToGrid w:val="0"/>
          <w:color w:val="auto"/>
          <w:kern w:val="0"/>
          <w:sz w:val="32"/>
          <w:szCs w:val="32"/>
          <w:lang w:val="en-US" w:eastAsia="zh-CN"/>
        </w:rPr>
        <w:t>七</w:t>
      </w:r>
      <w:r>
        <w:rPr>
          <w:rFonts w:hint="eastAsia" w:ascii="楷体_GB2312" w:hAnsi="楷体_GB2312" w:eastAsia="楷体_GB2312" w:cs="楷体_GB2312"/>
          <w:snapToGrid w:val="0"/>
          <w:color w:val="auto"/>
          <w:kern w:val="0"/>
          <w:sz w:val="32"/>
          <w:szCs w:val="32"/>
        </w:rPr>
        <w:t>）</w:t>
      </w:r>
      <w:r>
        <w:rPr>
          <w:rFonts w:hint="eastAsia" w:ascii="楷体_GB2312" w:hAnsi="楷体_GB2312" w:eastAsia="楷体_GB2312" w:cs="楷体_GB2312"/>
          <w:snapToGrid w:val="0"/>
          <w:color w:val="auto"/>
          <w:kern w:val="0"/>
          <w:sz w:val="32"/>
          <w:szCs w:val="32"/>
          <w:lang w:val="en-US" w:eastAsia="zh-CN"/>
        </w:rPr>
        <w:t>积极探索创新</w:t>
      </w:r>
      <w:r>
        <w:rPr>
          <w:rFonts w:hint="eastAsia" w:ascii="楷体_GB2312" w:hAnsi="楷体_GB2312" w:eastAsia="楷体_GB2312" w:cs="楷体_GB2312"/>
          <w:snapToGrid w:val="0"/>
          <w:color w:val="auto"/>
          <w:kern w:val="0"/>
          <w:sz w:val="32"/>
          <w:szCs w:val="32"/>
        </w:rPr>
        <w:t>，</w:t>
      </w:r>
      <w:r>
        <w:rPr>
          <w:rFonts w:hint="eastAsia" w:ascii="楷体_GB2312" w:hAnsi="楷体_GB2312" w:eastAsia="楷体_GB2312" w:cs="楷体_GB2312"/>
          <w:snapToGrid w:val="0"/>
          <w:color w:val="auto"/>
          <w:kern w:val="0"/>
          <w:sz w:val="32"/>
          <w:szCs w:val="32"/>
          <w:lang w:val="en-US" w:eastAsia="zh-CN"/>
        </w:rPr>
        <w:t>推动健康湾区建设。</w:t>
      </w:r>
    </w:p>
    <w:p w14:paraId="719B58D6">
      <w:pPr>
        <w:pStyle w:val="8"/>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rPr>
          <w:rFonts w:hint="default" w:ascii="Times New Roman" w:hAnsi="Times New Roman" w:eastAsia="仿宋_GB2312" w:cs="Times New Roman"/>
          <w:snapToGrid w:val="0"/>
          <w:color w:val="auto"/>
          <w:kern w:val="0"/>
          <w:sz w:val="32"/>
          <w:szCs w:val="32"/>
          <w:highlight w:val="none"/>
          <w:lang w:val="en-US" w:eastAsia="zh-CN" w:bidi="ar-SA"/>
        </w:rPr>
      </w:pPr>
      <w:r>
        <w:rPr>
          <w:rFonts w:hint="default" w:ascii="Times New Roman" w:hAnsi="Times New Roman" w:eastAsia="仿宋_GB2312" w:cs="Times New Roman"/>
          <w:b/>
          <w:bCs/>
          <w:snapToGrid w:val="0"/>
          <w:color w:val="auto"/>
          <w:kern w:val="0"/>
          <w:sz w:val="32"/>
          <w:szCs w:val="32"/>
          <w:highlight w:val="none"/>
          <w:lang w:val="en-US" w:eastAsia="zh-CN" w:bidi="ar-SA"/>
        </w:rPr>
        <w:t>1</w:t>
      </w:r>
      <w:r>
        <w:rPr>
          <w:rFonts w:hint="default" w:ascii="仿宋_GB2312" w:hAnsi="仿宋_GB2312" w:eastAsia="仿宋_GB2312" w:cs="仿宋_GB2312"/>
          <w:b/>
          <w:bCs/>
          <w:snapToGrid w:val="0"/>
          <w:color w:val="auto"/>
          <w:kern w:val="0"/>
          <w:sz w:val="32"/>
          <w:szCs w:val="32"/>
          <w:lang w:val="en-US" w:eastAsia="zh-CN"/>
        </w:rPr>
        <w:t>.</w:t>
      </w:r>
      <w:r>
        <w:rPr>
          <w:rFonts w:hint="default" w:ascii="Times New Roman" w:hAnsi="Times New Roman" w:eastAsia="仿宋_GB2312" w:cs="Times New Roman"/>
          <w:b/>
          <w:bCs/>
          <w:snapToGrid w:val="0"/>
          <w:color w:val="auto"/>
          <w:kern w:val="0"/>
          <w:sz w:val="32"/>
          <w:szCs w:val="32"/>
          <w:highlight w:val="none"/>
          <w:lang w:val="en-US" w:eastAsia="zh-CN" w:bidi="ar-SA"/>
        </w:rPr>
        <w:t>无结核试点探索。</w:t>
      </w:r>
      <w:r>
        <w:rPr>
          <w:rFonts w:hint="default" w:ascii="Times New Roman" w:hAnsi="Times New Roman" w:eastAsia="仿宋_GB2312" w:cs="Times New Roman"/>
          <w:b w:val="0"/>
          <w:bCs w:val="0"/>
          <w:snapToGrid w:val="0"/>
          <w:color w:val="auto"/>
          <w:kern w:val="0"/>
          <w:sz w:val="32"/>
          <w:szCs w:val="32"/>
          <w:highlight w:val="none"/>
          <w:lang w:val="en-US" w:eastAsia="zh-CN" w:bidi="ar-SA"/>
        </w:rPr>
        <w:t>推进无结核社区、县区、城市建设</w:t>
      </w:r>
      <w:r>
        <w:rPr>
          <w:rFonts w:hint="default" w:ascii="Times New Roman" w:hAnsi="Times New Roman" w:eastAsia="仿宋_GB2312" w:cs="Times New Roman"/>
          <w:snapToGrid w:val="0"/>
          <w:color w:val="auto"/>
          <w:kern w:val="0"/>
          <w:sz w:val="32"/>
          <w:szCs w:val="32"/>
          <w:highlight w:val="none"/>
          <w:lang w:val="en-US" w:eastAsia="zh-CN" w:bidi="ar-SA"/>
        </w:rPr>
        <w:t>，司法行政部门探索创建无结核监所工作</w:t>
      </w:r>
      <w:r>
        <w:rPr>
          <w:rFonts w:hint="eastAsia" w:ascii="Times New Roman" w:hAnsi="Times New Roman" w:eastAsia="仿宋_GB2312" w:cs="Times New Roman"/>
          <w:snapToGrid w:val="0"/>
          <w:color w:val="auto"/>
          <w:kern w:val="0"/>
          <w:sz w:val="32"/>
          <w:szCs w:val="32"/>
          <w:highlight w:val="none"/>
          <w:lang w:val="en-US" w:eastAsia="zh-CN" w:bidi="ar-SA"/>
        </w:rPr>
        <w:t>。</w:t>
      </w:r>
      <w:r>
        <w:rPr>
          <w:rFonts w:hint="default" w:ascii="Times New Roman" w:hAnsi="Times New Roman" w:eastAsia="仿宋_GB2312" w:cs="Times New Roman"/>
          <w:snapToGrid w:val="0"/>
          <w:color w:val="auto"/>
          <w:kern w:val="0"/>
          <w:sz w:val="32"/>
          <w:szCs w:val="32"/>
          <w:highlight w:val="none"/>
          <w:lang w:val="en-US" w:eastAsia="zh-CN" w:bidi="ar-SA"/>
        </w:rPr>
        <w:t>探索</w:t>
      </w:r>
      <w:r>
        <w:rPr>
          <w:rFonts w:hint="default" w:ascii="Times New Roman" w:hAnsi="Times New Roman" w:eastAsia="仿宋_GB2312" w:cs="Times New Roman"/>
          <w:snapToGrid w:val="0"/>
          <w:color w:val="auto"/>
          <w:kern w:val="0"/>
          <w:sz w:val="32"/>
          <w:szCs w:val="32"/>
          <w:lang w:val="en-US" w:eastAsia="zh-CN"/>
        </w:rPr>
        <w:t>完善县（市、区）、乡镇（社区）、村（居）三级协同防治机制</w:t>
      </w:r>
      <w:r>
        <w:rPr>
          <w:rFonts w:hint="eastAsia" w:ascii="Times New Roman" w:hAnsi="Times New Roman" w:eastAsia="仿宋_GB2312" w:cs="Times New Roman"/>
          <w:snapToGrid w:val="0"/>
          <w:color w:val="auto"/>
          <w:kern w:val="0"/>
          <w:sz w:val="32"/>
          <w:szCs w:val="32"/>
          <w:lang w:val="en-US" w:eastAsia="zh-CN"/>
        </w:rPr>
        <w:t>，</w:t>
      </w:r>
      <w:r>
        <w:rPr>
          <w:rFonts w:hint="default" w:ascii="Times New Roman" w:hAnsi="Times New Roman" w:eastAsia="仿宋_GB2312" w:cs="Times New Roman"/>
          <w:snapToGrid w:val="0"/>
          <w:color w:val="auto"/>
          <w:kern w:val="0"/>
          <w:sz w:val="32"/>
          <w:szCs w:val="32"/>
          <w:lang w:val="en-US" w:eastAsia="zh-CN"/>
        </w:rPr>
        <w:t>强化多方联动</w:t>
      </w:r>
      <w:r>
        <w:rPr>
          <w:rFonts w:hint="default" w:ascii="Times New Roman" w:hAnsi="Times New Roman" w:eastAsia="仿宋_GB2312" w:cs="Times New Roman"/>
          <w:snapToGrid w:val="0"/>
          <w:color w:val="auto"/>
          <w:kern w:val="0"/>
          <w:sz w:val="32"/>
          <w:szCs w:val="32"/>
          <w:highlight w:val="none"/>
          <w:lang w:val="en-US" w:eastAsia="zh-CN" w:bidi="ar-SA"/>
        </w:rPr>
        <w:t>。</w:t>
      </w:r>
      <w:r>
        <w:rPr>
          <w:rFonts w:hint="eastAsia" w:ascii="Times New Roman" w:hAnsi="Times New Roman" w:eastAsia="仿宋_GB2312" w:cs="Times New Roman"/>
          <w:snapToGrid w:val="0"/>
          <w:color w:val="auto"/>
          <w:kern w:val="0"/>
          <w:sz w:val="32"/>
          <w:szCs w:val="32"/>
          <w:highlight w:val="none"/>
          <w:lang w:val="en-US" w:eastAsia="zh-CN" w:bidi="ar-SA"/>
        </w:rPr>
        <w:t>开展</w:t>
      </w:r>
      <w:r>
        <w:rPr>
          <w:rFonts w:hint="default" w:ascii="Times New Roman" w:hAnsi="Times New Roman" w:eastAsia="仿宋_GB2312" w:cs="Times New Roman"/>
          <w:snapToGrid w:val="0"/>
          <w:color w:val="auto"/>
          <w:kern w:val="0"/>
          <w:sz w:val="32"/>
          <w:szCs w:val="32"/>
          <w:highlight w:val="none"/>
          <w:lang w:val="en-US" w:eastAsia="zh-CN" w:bidi="ar-SA"/>
        </w:rPr>
        <w:t>优化并验证集诊断、治疗和预防于一体的综合干预措施的试点工作。</w:t>
      </w:r>
    </w:p>
    <w:p w14:paraId="6B0AB5FF">
      <w:pPr>
        <w:pStyle w:val="8"/>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rPr>
          <w:rFonts w:hint="default" w:ascii="Times New Roman" w:hAnsi="Times New Roman" w:eastAsia="仿宋_GB2312" w:cs="Times New Roman"/>
          <w:b w:val="0"/>
          <w:bCs w:val="0"/>
          <w:snapToGrid w:val="0"/>
          <w:color w:val="auto"/>
          <w:kern w:val="0"/>
          <w:sz w:val="32"/>
          <w:szCs w:val="32"/>
          <w:highlight w:val="none"/>
          <w:lang w:val="en-US" w:eastAsia="zh-CN" w:bidi="ar-SA"/>
        </w:rPr>
      </w:pPr>
      <w:r>
        <w:rPr>
          <w:rFonts w:hint="default" w:ascii="Times New Roman" w:hAnsi="Times New Roman" w:eastAsia="仿宋_GB2312" w:cs="Times New Roman"/>
          <w:b/>
          <w:bCs/>
          <w:snapToGrid w:val="0"/>
          <w:color w:val="auto"/>
          <w:kern w:val="0"/>
          <w:sz w:val="32"/>
          <w:szCs w:val="32"/>
          <w:highlight w:val="none"/>
          <w:lang w:val="en-US" w:eastAsia="zh-CN" w:bidi="ar-SA"/>
        </w:rPr>
        <w:t>2</w:t>
      </w:r>
      <w:r>
        <w:rPr>
          <w:rFonts w:hint="eastAsia" w:ascii="仿宋_GB2312" w:hAnsi="仿宋_GB2312" w:eastAsia="仿宋_GB2312" w:cs="仿宋_GB2312"/>
          <w:b/>
          <w:bCs/>
          <w:snapToGrid w:val="0"/>
          <w:color w:val="auto"/>
          <w:kern w:val="0"/>
          <w:sz w:val="32"/>
          <w:szCs w:val="32"/>
          <w:highlight w:val="none"/>
          <w:lang w:val="en-US" w:eastAsia="zh-CN" w:bidi="ar-SA"/>
        </w:rPr>
        <w:t>.</w:t>
      </w:r>
      <w:r>
        <w:rPr>
          <w:rFonts w:hint="default" w:ascii="Times New Roman" w:hAnsi="Times New Roman" w:eastAsia="仿宋_GB2312" w:cs="Times New Roman"/>
          <w:b/>
          <w:bCs/>
          <w:snapToGrid w:val="0"/>
          <w:color w:val="auto"/>
          <w:kern w:val="0"/>
          <w:sz w:val="32"/>
          <w:szCs w:val="32"/>
          <w:highlight w:val="none"/>
          <w:lang w:val="en-US" w:eastAsia="zh-CN" w:bidi="ar-SA"/>
        </w:rPr>
        <w:t>深化粤港澳大湾区一体化防控。</w:t>
      </w:r>
      <w:r>
        <w:rPr>
          <w:rFonts w:hint="default" w:ascii="Times New Roman" w:hAnsi="Times New Roman" w:eastAsia="仿宋_GB2312" w:cs="Times New Roman"/>
          <w:snapToGrid w:val="0"/>
          <w:color w:val="auto"/>
          <w:kern w:val="0"/>
          <w:sz w:val="32"/>
          <w:szCs w:val="32"/>
          <w:highlight w:val="none"/>
          <w:lang w:val="en-US" w:eastAsia="zh-CN" w:bidi="ar-SA"/>
        </w:rPr>
        <w:t>强</w:t>
      </w:r>
      <w:r>
        <w:rPr>
          <w:rFonts w:hint="eastAsia" w:ascii="Times New Roman" w:hAnsi="Times New Roman" w:eastAsia="仿宋_GB2312" w:cs="Times New Roman"/>
          <w:snapToGrid w:val="0"/>
          <w:color w:val="auto"/>
          <w:kern w:val="0"/>
          <w:sz w:val="32"/>
          <w:szCs w:val="32"/>
          <w:highlight w:val="none"/>
          <w:lang w:val="en-US" w:eastAsia="zh-CN" w:bidi="ar-SA"/>
        </w:rPr>
        <w:t>化</w:t>
      </w:r>
      <w:r>
        <w:rPr>
          <w:rFonts w:hint="default" w:ascii="Times New Roman" w:hAnsi="Times New Roman" w:eastAsia="仿宋_GB2312" w:cs="Times New Roman"/>
          <w:snapToGrid w:val="0"/>
          <w:color w:val="auto"/>
          <w:kern w:val="0"/>
          <w:sz w:val="32"/>
          <w:szCs w:val="32"/>
          <w:highlight w:val="none"/>
          <w:lang w:val="en-US" w:eastAsia="zh-CN" w:bidi="ar-SA"/>
        </w:rPr>
        <w:t>粤港澳结核病联防联控机制，完善跨区域结核病患者信息通报和健康管理。发挥专业协会、相关专家委员会纽带作用，推动大湾区在防控机制建设、实验室检测、风险沟通和健康传播</w:t>
      </w:r>
      <w:r>
        <w:rPr>
          <w:rFonts w:hint="eastAsia" w:ascii="Times New Roman" w:hAnsi="Times New Roman" w:eastAsia="仿宋_GB2312" w:cs="Times New Roman"/>
          <w:snapToGrid w:val="0"/>
          <w:color w:val="auto"/>
          <w:kern w:val="0"/>
          <w:sz w:val="32"/>
          <w:szCs w:val="32"/>
          <w:highlight w:val="none"/>
          <w:lang w:val="en-US" w:eastAsia="zh-CN" w:bidi="ar-SA"/>
        </w:rPr>
        <w:t>等</w:t>
      </w:r>
      <w:r>
        <w:rPr>
          <w:rFonts w:hint="default" w:ascii="Times New Roman" w:hAnsi="Times New Roman" w:eastAsia="仿宋_GB2312" w:cs="Times New Roman"/>
          <w:snapToGrid w:val="0"/>
          <w:color w:val="auto"/>
          <w:kern w:val="0"/>
          <w:sz w:val="32"/>
          <w:szCs w:val="32"/>
          <w:highlight w:val="none"/>
          <w:lang w:val="en-US" w:eastAsia="zh-CN" w:bidi="ar-SA"/>
        </w:rPr>
        <w:t>方面的技术交流与合作。</w:t>
      </w:r>
    </w:p>
    <w:p w14:paraId="2DB07D07">
      <w:pPr>
        <w:pStyle w:val="8"/>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rPr>
          <w:rFonts w:hint="default" w:ascii="Times New Roman" w:hAnsi="Times New Roman" w:eastAsia="仿宋_GB2312" w:cs="Times New Roman"/>
          <w:snapToGrid w:val="0"/>
          <w:color w:val="auto"/>
          <w:kern w:val="0"/>
          <w:sz w:val="32"/>
          <w:szCs w:val="32"/>
          <w:highlight w:val="none"/>
          <w:lang w:val="en-US" w:eastAsia="zh-CN" w:bidi="ar-SA"/>
        </w:rPr>
      </w:pPr>
      <w:r>
        <w:rPr>
          <w:rFonts w:hint="default" w:ascii="Times New Roman" w:hAnsi="Times New Roman" w:eastAsia="仿宋_GB2312" w:cs="Times New Roman"/>
          <w:b/>
          <w:bCs/>
          <w:snapToGrid w:val="0"/>
          <w:color w:val="auto"/>
          <w:kern w:val="0"/>
          <w:sz w:val="32"/>
          <w:szCs w:val="32"/>
          <w:highlight w:val="none"/>
          <w:lang w:val="en-US" w:eastAsia="zh-CN" w:bidi="ar-SA"/>
        </w:rPr>
        <w:t>3</w:t>
      </w:r>
      <w:r>
        <w:rPr>
          <w:rFonts w:hint="eastAsia" w:ascii="仿宋_GB2312" w:hAnsi="仿宋_GB2312" w:eastAsia="仿宋_GB2312" w:cs="仿宋_GB2312"/>
          <w:b/>
          <w:bCs/>
          <w:snapToGrid w:val="0"/>
          <w:color w:val="auto"/>
          <w:kern w:val="0"/>
          <w:sz w:val="32"/>
          <w:szCs w:val="32"/>
          <w:highlight w:val="none"/>
          <w:lang w:val="en-US" w:eastAsia="zh-CN" w:bidi="ar-SA"/>
        </w:rPr>
        <w:t>.</w:t>
      </w:r>
      <w:r>
        <w:rPr>
          <w:rFonts w:hint="default" w:ascii="Times New Roman" w:hAnsi="Times New Roman" w:eastAsia="仿宋_GB2312" w:cs="Times New Roman"/>
          <w:b/>
          <w:bCs/>
          <w:snapToGrid w:val="0"/>
          <w:color w:val="auto"/>
          <w:kern w:val="0"/>
          <w:sz w:val="32"/>
          <w:szCs w:val="32"/>
          <w:highlight w:val="none"/>
          <w:lang w:val="en-US" w:eastAsia="zh-CN" w:bidi="ar-SA"/>
        </w:rPr>
        <w:t>强化</w:t>
      </w:r>
      <w:r>
        <w:rPr>
          <w:rFonts w:hint="eastAsia" w:ascii="Times New Roman" w:hAnsi="Times New Roman" w:eastAsia="仿宋_GB2312" w:cs="Times New Roman"/>
          <w:b/>
          <w:bCs/>
          <w:snapToGrid w:val="0"/>
          <w:color w:val="auto"/>
          <w:kern w:val="0"/>
          <w:sz w:val="32"/>
          <w:szCs w:val="32"/>
          <w:highlight w:val="none"/>
          <w:lang w:val="en-US" w:eastAsia="zh-CN" w:bidi="ar-SA"/>
        </w:rPr>
        <w:t>科技支撑</w:t>
      </w:r>
      <w:r>
        <w:rPr>
          <w:rFonts w:hint="default" w:ascii="Times New Roman" w:hAnsi="Times New Roman" w:eastAsia="仿宋_GB2312" w:cs="Times New Roman"/>
          <w:b/>
          <w:bCs/>
          <w:snapToGrid w:val="0"/>
          <w:color w:val="auto"/>
          <w:kern w:val="0"/>
          <w:sz w:val="32"/>
          <w:szCs w:val="32"/>
          <w:highlight w:val="none"/>
          <w:lang w:val="en-US" w:eastAsia="zh-CN" w:bidi="ar-SA"/>
        </w:rPr>
        <w:t>。</w:t>
      </w:r>
      <w:r>
        <w:rPr>
          <w:rFonts w:hint="default" w:ascii="Times New Roman" w:hAnsi="Times New Roman" w:eastAsia="仿宋_GB2312" w:cs="Times New Roman"/>
          <w:snapToGrid w:val="0"/>
          <w:color w:val="auto"/>
          <w:kern w:val="0"/>
          <w:sz w:val="32"/>
          <w:szCs w:val="32"/>
          <w:highlight w:val="none"/>
          <w:lang w:val="en-US" w:eastAsia="zh-CN" w:bidi="ar-SA"/>
        </w:rPr>
        <w:t>针对结核病相关防、诊、治关键环节，鼓励高校、科研院所、企业围绕结核病相关新型诊断技术和产品、新药、新疫苗等领域开展科技攻关，优化和评估新型短程化疗方案，缩短诊断和治疗时间</w:t>
      </w:r>
      <w:r>
        <w:rPr>
          <w:rFonts w:hint="eastAsia" w:ascii="Times New Roman" w:hAnsi="Times New Roman" w:eastAsia="仿宋_GB2312" w:cs="Times New Roman"/>
          <w:snapToGrid w:val="0"/>
          <w:color w:val="auto"/>
          <w:kern w:val="0"/>
          <w:sz w:val="32"/>
          <w:szCs w:val="32"/>
          <w:highlight w:val="none"/>
          <w:lang w:val="en-US" w:eastAsia="zh-CN" w:bidi="ar-SA"/>
        </w:rPr>
        <w:t>。</w:t>
      </w:r>
    </w:p>
    <w:p w14:paraId="2AFF133D">
      <w:pPr>
        <w:pStyle w:val="8"/>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rPr>
          <w:rFonts w:hint="default" w:ascii="Times New Roman" w:hAnsi="Times New Roman" w:eastAsia="仿宋_GB2312" w:cs="Times New Roman"/>
          <w:snapToGrid w:val="0"/>
          <w:color w:val="auto"/>
          <w:kern w:val="0"/>
          <w:sz w:val="32"/>
          <w:szCs w:val="32"/>
          <w:highlight w:val="none"/>
          <w:lang w:val="en-US" w:eastAsia="zh-CN" w:bidi="ar-SA"/>
        </w:rPr>
      </w:pPr>
      <w:r>
        <w:rPr>
          <w:rFonts w:hint="default" w:ascii="Times New Roman" w:hAnsi="Times New Roman" w:eastAsia="仿宋_GB2312" w:cs="Times New Roman"/>
          <w:b/>
          <w:bCs/>
          <w:snapToGrid w:val="0"/>
          <w:color w:val="auto"/>
          <w:kern w:val="0"/>
          <w:sz w:val="32"/>
          <w:szCs w:val="32"/>
          <w:highlight w:val="none"/>
          <w:lang w:val="en-US" w:eastAsia="zh-CN"/>
        </w:rPr>
        <w:t>4</w:t>
      </w:r>
      <w:r>
        <w:rPr>
          <w:rFonts w:hint="eastAsia" w:ascii="仿宋_GB2312" w:hAnsi="仿宋_GB2312" w:eastAsia="仿宋_GB2312" w:cs="仿宋_GB2312"/>
          <w:b/>
          <w:bCs/>
          <w:snapToGrid w:val="0"/>
          <w:color w:val="auto"/>
          <w:kern w:val="0"/>
          <w:sz w:val="32"/>
          <w:szCs w:val="32"/>
          <w:highlight w:val="none"/>
          <w:lang w:val="en-US" w:eastAsia="zh-CN"/>
        </w:rPr>
        <w:t>.</w:t>
      </w:r>
      <w:r>
        <w:rPr>
          <w:rFonts w:hint="default" w:ascii="Times New Roman" w:hAnsi="Times New Roman" w:eastAsia="仿宋_GB2312" w:cs="Times New Roman"/>
          <w:b/>
          <w:bCs/>
          <w:snapToGrid w:val="0"/>
          <w:color w:val="auto"/>
          <w:kern w:val="0"/>
          <w:sz w:val="32"/>
          <w:szCs w:val="32"/>
          <w:highlight w:val="none"/>
          <w:lang w:val="en-US" w:eastAsia="zh-CN"/>
        </w:rPr>
        <w:t>探索</w:t>
      </w:r>
      <w:r>
        <w:rPr>
          <w:rFonts w:hint="default" w:ascii="Times New Roman" w:hAnsi="Times New Roman" w:eastAsia="仿宋_GB2312" w:cs="Times New Roman"/>
          <w:b/>
          <w:bCs/>
          <w:snapToGrid w:val="0"/>
          <w:color w:val="auto"/>
          <w:kern w:val="0"/>
          <w:sz w:val="32"/>
          <w:szCs w:val="32"/>
          <w:highlight w:val="none"/>
        </w:rPr>
        <w:t>智慧</w:t>
      </w:r>
      <w:r>
        <w:rPr>
          <w:rFonts w:hint="default" w:ascii="Times New Roman" w:hAnsi="Times New Roman" w:eastAsia="仿宋_GB2312" w:cs="Times New Roman"/>
          <w:b/>
          <w:bCs/>
          <w:snapToGrid w:val="0"/>
          <w:color w:val="auto"/>
          <w:kern w:val="0"/>
          <w:sz w:val="32"/>
          <w:szCs w:val="32"/>
          <w:highlight w:val="none"/>
          <w:lang w:val="en-US" w:eastAsia="zh-CN"/>
        </w:rPr>
        <w:t>化赋能。</w:t>
      </w:r>
      <w:r>
        <w:rPr>
          <w:rFonts w:hint="default" w:ascii="Times New Roman" w:hAnsi="Times New Roman" w:eastAsia="仿宋_GB2312" w:cs="Times New Roman"/>
          <w:snapToGrid w:val="0"/>
          <w:color w:val="auto"/>
          <w:kern w:val="0"/>
          <w:sz w:val="32"/>
          <w:szCs w:val="32"/>
          <w:highlight w:val="none"/>
          <w:lang w:val="en-US" w:eastAsia="zh-CN" w:bidi="ar-SA"/>
        </w:rPr>
        <w:t>将结核病防治内容纳入区域公共卫生信息平台。探索人工智能等新技术融合应用，创新智慧医疗服务模式，打造智慧健康服务新业态。</w:t>
      </w:r>
    </w:p>
    <w:p w14:paraId="0F2A55EA">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baseline"/>
        <w:rPr>
          <w:rFonts w:hint="eastAsia" w:ascii="楷体_GB2312" w:hAnsi="楷体_GB2312" w:eastAsia="楷体_GB2312" w:cs="楷体_GB2312"/>
          <w:snapToGrid w:val="0"/>
          <w:color w:val="auto"/>
          <w:kern w:val="0"/>
          <w:sz w:val="32"/>
          <w:szCs w:val="32"/>
          <w:lang w:eastAsia="zh-CN"/>
        </w:rPr>
      </w:pPr>
      <w:r>
        <w:rPr>
          <w:rFonts w:hint="eastAsia" w:ascii="楷体_GB2312" w:hAnsi="楷体_GB2312" w:eastAsia="楷体_GB2312" w:cs="楷体_GB2312"/>
          <w:snapToGrid w:val="0"/>
          <w:color w:val="auto"/>
          <w:kern w:val="0"/>
          <w:sz w:val="32"/>
          <w:szCs w:val="32"/>
        </w:rPr>
        <w:t>（八）强化社会动员，广泛开展宣传</w:t>
      </w:r>
      <w:r>
        <w:rPr>
          <w:rFonts w:hint="eastAsia" w:ascii="楷体_GB2312" w:hAnsi="楷体_GB2312" w:eastAsia="楷体_GB2312" w:cs="楷体_GB2312"/>
          <w:snapToGrid w:val="0"/>
          <w:color w:val="auto"/>
          <w:kern w:val="0"/>
          <w:sz w:val="32"/>
          <w:szCs w:val="32"/>
          <w:lang w:eastAsia="zh-CN"/>
        </w:rPr>
        <w:t>。</w:t>
      </w:r>
    </w:p>
    <w:p w14:paraId="1196721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b/>
          <w:bCs/>
          <w:snapToGrid w:val="0"/>
          <w:color w:val="auto"/>
          <w:kern w:val="0"/>
          <w:sz w:val="32"/>
          <w:szCs w:val="32"/>
        </w:rPr>
        <w:t>1</w:t>
      </w:r>
      <w:r>
        <w:rPr>
          <w:rFonts w:hint="eastAsia" w:ascii="仿宋_GB2312" w:hAnsi="仿宋_GB2312" w:eastAsia="仿宋_GB2312" w:cs="仿宋_GB2312"/>
          <w:b/>
          <w:bCs/>
          <w:snapToGrid w:val="0"/>
          <w:color w:val="auto"/>
          <w:kern w:val="0"/>
          <w:sz w:val="32"/>
          <w:szCs w:val="32"/>
        </w:rPr>
        <w:t>.</w:t>
      </w:r>
      <w:r>
        <w:rPr>
          <w:rFonts w:hint="eastAsia" w:eastAsia="仿宋_GB2312" w:cs="Times New Roman"/>
          <w:b/>
          <w:bCs/>
          <w:snapToGrid w:val="0"/>
          <w:color w:val="auto"/>
          <w:kern w:val="0"/>
          <w:sz w:val="32"/>
          <w:szCs w:val="32"/>
          <w:lang w:eastAsia="zh-CN"/>
        </w:rPr>
        <w:t>广泛</w:t>
      </w:r>
      <w:r>
        <w:rPr>
          <w:rFonts w:hint="default" w:ascii="Times New Roman" w:hAnsi="Times New Roman" w:eastAsia="仿宋_GB2312" w:cs="Times New Roman"/>
          <w:b/>
          <w:bCs/>
          <w:snapToGrid w:val="0"/>
          <w:color w:val="auto"/>
          <w:kern w:val="0"/>
          <w:sz w:val="32"/>
          <w:szCs w:val="32"/>
        </w:rPr>
        <w:t>开展大众宣传。</w:t>
      </w:r>
      <w:r>
        <w:rPr>
          <w:rFonts w:hint="eastAsia" w:ascii="仿宋_GB2312" w:hAnsi="仿宋_GB2312" w:eastAsia="仿宋_GB2312" w:cs="仿宋_GB2312"/>
          <w:snapToGrid w:val="0"/>
          <w:color w:val="auto"/>
          <w:kern w:val="0"/>
          <w:sz w:val="32"/>
          <w:szCs w:val="32"/>
          <w:lang w:val="en-US" w:eastAsia="zh-CN"/>
        </w:rPr>
        <w:t>深入开展广东省</w:t>
      </w:r>
      <w:r>
        <w:rPr>
          <w:rFonts w:hint="eastAsia" w:ascii="仿宋_GB2312" w:hAnsi="仿宋_GB2312" w:eastAsia="仿宋_GB2312" w:cs="仿宋_GB2312"/>
          <w:snapToGrid w:val="0"/>
          <w:color w:val="auto"/>
          <w:kern w:val="0"/>
          <w:sz w:val="32"/>
          <w:szCs w:val="32"/>
        </w:rPr>
        <w:t>结核病防治</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双万双联</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健康促进行动</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推进</w:t>
      </w:r>
      <w:r>
        <w:rPr>
          <w:rFonts w:hint="eastAsia" w:ascii="仿宋_GB2312" w:hAnsi="仿宋_GB2312" w:eastAsia="仿宋_GB2312" w:cs="仿宋_GB2312"/>
          <w:snapToGrid w:val="0"/>
          <w:color w:val="auto"/>
          <w:kern w:val="0"/>
          <w:sz w:val="32"/>
          <w:szCs w:val="32"/>
          <w:lang w:eastAsia="zh-CN"/>
        </w:rPr>
        <w:t>结核病防治健康教育</w:t>
      </w:r>
      <w:r>
        <w:rPr>
          <w:rFonts w:hint="eastAsia" w:ascii="仿宋_GB2312" w:hAnsi="仿宋_GB2312" w:eastAsia="仿宋_GB2312" w:cs="仿宋_GB2312"/>
          <w:snapToGrid w:val="0"/>
          <w:color w:val="auto"/>
          <w:kern w:val="0"/>
          <w:sz w:val="32"/>
          <w:szCs w:val="32"/>
          <w:lang w:val="en-US" w:eastAsia="zh-CN"/>
        </w:rPr>
        <w:t>宣传</w:t>
      </w:r>
      <w:r>
        <w:rPr>
          <w:rFonts w:hint="eastAsia" w:ascii="仿宋_GB2312" w:hAnsi="仿宋_GB2312" w:eastAsia="仿宋_GB2312" w:cs="仿宋_GB2312"/>
          <w:snapToGrid w:val="0"/>
          <w:color w:val="auto"/>
          <w:kern w:val="0"/>
          <w:sz w:val="32"/>
          <w:szCs w:val="32"/>
          <w:lang w:eastAsia="zh-CN"/>
        </w:rPr>
        <w:t>“进医院、进社区、进企业、进学校、进家庭”</w:t>
      </w:r>
      <w:r>
        <w:rPr>
          <w:rFonts w:hint="eastAsia" w:ascii="仿宋_GB2312" w:hAnsi="仿宋_GB2312" w:eastAsia="仿宋_GB2312" w:cs="仿宋_GB2312"/>
          <w:snapToGrid w:val="0"/>
          <w:color w:val="auto"/>
          <w:kern w:val="0"/>
          <w:sz w:val="32"/>
          <w:szCs w:val="32"/>
          <w:highlight w:val="none"/>
          <w:lang w:eastAsia="zh-CN"/>
        </w:rPr>
        <w:t>，</w:t>
      </w:r>
      <w:r>
        <w:rPr>
          <w:rFonts w:hint="eastAsia" w:ascii="仿宋_GB2312" w:hAnsi="仿宋_GB2312" w:eastAsia="仿宋_GB2312" w:cs="仿宋_GB2312"/>
          <w:snapToGrid w:val="0"/>
          <w:color w:val="auto"/>
          <w:kern w:val="0"/>
          <w:sz w:val="32"/>
          <w:szCs w:val="32"/>
        </w:rPr>
        <w:t>加大传统媒体和新媒体宣传力度，提升全民结核病防治健康素养与重点人群、重点场所宣传</w:t>
      </w:r>
      <w:r>
        <w:rPr>
          <w:rFonts w:hint="default" w:ascii="Times New Roman" w:hAnsi="Times New Roman" w:eastAsia="仿宋_GB2312" w:cs="Times New Roman"/>
          <w:snapToGrid w:val="0"/>
          <w:color w:val="auto"/>
          <w:kern w:val="0"/>
          <w:sz w:val="32"/>
          <w:szCs w:val="32"/>
        </w:rPr>
        <w:t>效果。</w:t>
      </w:r>
    </w:p>
    <w:p w14:paraId="72DBFBE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b/>
          <w:bCs/>
          <w:snapToGrid w:val="0"/>
          <w:color w:val="auto"/>
          <w:kern w:val="0"/>
          <w:sz w:val="32"/>
          <w:szCs w:val="32"/>
        </w:rPr>
        <w:t>2</w:t>
      </w:r>
      <w:r>
        <w:rPr>
          <w:rFonts w:hint="eastAsia" w:ascii="仿宋_GB2312" w:hAnsi="仿宋_GB2312" w:eastAsia="仿宋_GB2312" w:cs="仿宋_GB2312"/>
          <w:b/>
          <w:bCs/>
          <w:snapToGrid w:val="0"/>
          <w:color w:val="auto"/>
          <w:kern w:val="0"/>
          <w:sz w:val="32"/>
          <w:szCs w:val="32"/>
        </w:rPr>
        <w:t>.</w:t>
      </w:r>
      <w:r>
        <w:rPr>
          <w:rFonts w:hint="default" w:ascii="Times New Roman" w:hAnsi="Times New Roman" w:eastAsia="仿宋_GB2312" w:cs="Times New Roman"/>
          <w:b/>
          <w:bCs/>
          <w:snapToGrid w:val="0"/>
          <w:color w:val="auto"/>
          <w:kern w:val="0"/>
          <w:sz w:val="32"/>
          <w:szCs w:val="32"/>
        </w:rPr>
        <w:t>积极动员社会参与。</w:t>
      </w:r>
      <w:r>
        <w:rPr>
          <w:rFonts w:hint="default" w:ascii="Times New Roman" w:hAnsi="Times New Roman" w:eastAsia="仿宋_GB2312" w:cs="Times New Roman"/>
          <w:snapToGrid w:val="0"/>
          <w:color w:val="auto"/>
          <w:kern w:val="0"/>
          <w:sz w:val="32"/>
          <w:szCs w:val="32"/>
        </w:rPr>
        <w:t>拓展多部门社会动员，营造全社会关注、</w:t>
      </w:r>
      <w:r>
        <w:rPr>
          <w:rFonts w:hint="eastAsia" w:eastAsia="仿宋_GB2312" w:cs="Times New Roman"/>
          <w:snapToGrid w:val="0"/>
          <w:color w:val="auto"/>
          <w:kern w:val="0"/>
          <w:sz w:val="32"/>
          <w:szCs w:val="32"/>
          <w:lang w:eastAsia="zh-CN"/>
        </w:rPr>
        <w:t>全民</w:t>
      </w:r>
      <w:r>
        <w:rPr>
          <w:rFonts w:hint="default" w:ascii="Times New Roman" w:hAnsi="Times New Roman" w:eastAsia="仿宋_GB2312" w:cs="Times New Roman"/>
          <w:snapToGrid w:val="0"/>
          <w:color w:val="auto"/>
          <w:kern w:val="0"/>
          <w:sz w:val="32"/>
          <w:szCs w:val="32"/>
        </w:rPr>
        <w:t>参与结核病防治的良好氛围。深入推进百千万志愿者结核病防治知识传播提升行动</w:t>
      </w:r>
      <w:r>
        <w:rPr>
          <w:rFonts w:hint="eastAsia"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将每</w:t>
      </w:r>
      <w:r>
        <w:rPr>
          <w:rFonts w:hint="eastAsia" w:ascii="仿宋_GB2312" w:hAnsi="仿宋_GB2312" w:eastAsia="仿宋_GB2312" w:cs="仿宋_GB2312"/>
          <w:snapToGrid w:val="0"/>
          <w:color w:val="auto"/>
          <w:kern w:val="0"/>
          <w:sz w:val="32"/>
          <w:szCs w:val="32"/>
        </w:rPr>
        <w:t>年</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世界防治结核病日</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主题宣传与常态化宣传有机结合，不断</w:t>
      </w:r>
      <w:r>
        <w:rPr>
          <w:rFonts w:hint="eastAsia" w:ascii="仿宋_GB2312" w:hAnsi="仿宋_GB2312" w:eastAsia="仿宋_GB2312" w:cs="仿宋_GB2312"/>
          <w:snapToGrid w:val="0"/>
          <w:color w:val="auto"/>
          <w:kern w:val="0"/>
          <w:sz w:val="32"/>
          <w:szCs w:val="32"/>
          <w:lang w:eastAsia="zh-CN"/>
        </w:rPr>
        <w:t>强化</w:t>
      </w:r>
      <w:r>
        <w:rPr>
          <w:rFonts w:hint="eastAsia" w:ascii="仿宋_GB2312" w:hAnsi="仿宋_GB2312" w:eastAsia="仿宋_GB2312" w:cs="仿宋_GB2312"/>
          <w:snapToGrid w:val="0"/>
          <w:color w:val="auto"/>
          <w:kern w:val="0"/>
          <w:sz w:val="32"/>
          <w:szCs w:val="32"/>
        </w:rPr>
        <w:t>公</w:t>
      </w:r>
      <w:r>
        <w:rPr>
          <w:rFonts w:hint="default" w:ascii="Times New Roman" w:hAnsi="Times New Roman" w:eastAsia="仿宋_GB2312" w:cs="Times New Roman"/>
          <w:snapToGrid w:val="0"/>
          <w:color w:val="auto"/>
          <w:kern w:val="0"/>
          <w:sz w:val="32"/>
          <w:szCs w:val="32"/>
        </w:rPr>
        <w:t>众健康意识</w:t>
      </w:r>
      <w:r>
        <w:rPr>
          <w:rFonts w:hint="eastAsia" w:eastAsia="仿宋_GB2312" w:cs="Times New Roman"/>
          <w:snapToGrid w:val="0"/>
          <w:color w:val="auto"/>
          <w:kern w:val="0"/>
          <w:sz w:val="32"/>
          <w:szCs w:val="32"/>
          <w:lang w:eastAsia="zh-CN"/>
        </w:rPr>
        <w:t>与</w:t>
      </w:r>
      <w:r>
        <w:rPr>
          <w:rFonts w:hint="default" w:ascii="Times New Roman" w:hAnsi="Times New Roman" w:eastAsia="仿宋_GB2312" w:cs="Times New Roman"/>
          <w:snapToGrid w:val="0"/>
          <w:color w:val="auto"/>
          <w:kern w:val="0"/>
          <w:sz w:val="32"/>
          <w:szCs w:val="32"/>
        </w:rPr>
        <w:t>责任。</w:t>
      </w:r>
    </w:p>
    <w:p w14:paraId="6B23D7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黑体" w:cs="Times New Roman"/>
          <w:snapToGrid w:val="0"/>
          <w:color w:val="auto"/>
          <w:kern w:val="0"/>
          <w:sz w:val="32"/>
          <w:szCs w:val="32"/>
          <w:lang w:val="en-US" w:eastAsia="zh-CN"/>
        </w:rPr>
      </w:pPr>
      <w:r>
        <w:rPr>
          <w:rFonts w:hint="eastAsia" w:eastAsia="黑体" w:cs="Times New Roman"/>
          <w:snapToGrid w:val="0"/>
          <w:color w:val="auto"/>
          <w:kern w:val="0"/>
          <w:sz w:val="32"/>
          <w:szCs w:val="32"/>
          <w:lang w:eastAsia="zh-CN"/>
        </w:rPr>
        <w:t>三</w:t>
      </w:r>
      <w:r>
        <w:rPr>
          <w:rFonts w:hint="default" w:ascii="Times New Roman" w:hAnsi="Times New Roman" w:eastAsia="黑体" w:cs="Times New Roman"/>
          <w:snapToGrid w:val="0"/>
          <w:color w:val="auto"/>
          <w:kern w:val="0"/>
          <w:sz w:val="32"/>
          <w:szCs w:val="32"/>
        </w:rPr>
        <w:t>、</w:t>
      </w:r>
      <w:r>
        <w:rPr>
          <w:rFonts w:hint="default" w:ascii="Times New Roman" w:hAnsi="Times New Roman" w:eastAsia="黑体" w:cs="Times New Roman"/>
          <w:snapToGrid w:val="0"/>
          <w:color w:val="auto"/>
          <w:kern w:val="0"/>
          <w:sz w:val="32"/>
          <w:szCs w:val="32"/>
          <w:lang w:val="en-US"/>
        </w:rPr>
        <w:t>保障措施</w:t>
      </w:r>
    </w:p>
    <w:p w14:paraId="1AEFEC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仿宋_GB2312" w:cs="Times New Roman"/>
          <w:snapToGrid w:val="0"/>
          <w:color w:val="auto"/>
          <w:kern w:val="0"/>
          <w:sz w:val="32"/>
          <w:szCs w:val="32"/>
          <w:lang w:val="en-US" w:eastAsia="zh-CN"/>
        </w:rPr>
        <w:t>地方</w:t>
      </w:r>
      <w:r>
        <w:rPr>
          <w:rFonts w:hint="default" w:ascii="Times New Roman" w:hAnsi="Times New Roman" w:eastAsia="仿宋_GB2312" w:cs="Times New Roman"/>
          <w:snapToGrid w:val="0"/>
          <w:color w:val="auto"/>
          <w:kern w:val="0"/>
          <w:sz w:val="32"/>
          <w:szCs w:val="32"/>
        </w:rPr>
        <w:t>各级政府</w:t>
      </w:r>
      <w:r>
        <w:rPr>
          <w:rFonts w:hint="default" w:ascii="Times New Roman" w:hAnsi="Times New Roman" w:eastAsia="仿宋_GB2312" w:cs="Times New Roman"/>
          <w:snapToGrid w:val="0"/>
          <w:color w:val="auto"/>
          <w:kern w:val="0"/>
          <w:sz w:val="32"/>
          <w:szCs w:val="32"/>
          <w:lang w:val="en-US" w:eastAsia="zh-CN"/>
        </w:rPr>
        <w:t>要</w:t>
      </w:r>
      <w:r>
        <w:rPr>
          <w:rFonts w:hint="default" w:ascii="Times New Roman" w:hAnsi="Times New Roman" w:eastAsia="仿宋_GB2312" w:cs="Times New Roman"/>
          <w:snapToGrid w:val="0"/>
          <w:color w:val="auto"/>
          <w:kern w:val="0"/>
          <w:sz w:val="32"/>
          <w:szCs w:val="32"/>
        </w:rPr>
        <w:t>落实主体责任，</w:t>
      </w:r>
      <w:r>
        <w:rPr>
          <w:rFonts w:hint="default" w:ascii="Times New Roman" w:hAnsi="Times New Roman" w:eastAsia="仿宋_GB2312" w:cs="Times New Roman"/>
          <w:snapToGrid w:val="0"/>
          <w:color w:val="auto"/>
          <w:kern w:val="0"/>
          <w:sz w:val="32"/>
          <w:szCs w:val="32"/>
          <w:lang w:eastAsia="zh-CN"/>
        </w:rPr>
        <w:t>鼓励高流行地市</w:t>
      </w:r>
      <w:r>
        <w:rPr>
          <w:rFonts w:hint="default" w:ascii="Times New Roman" w:hAnsi="Times New Roman" w:eastAsia="仿宋_GB2312" w:cs="Times New Roman"/>
          <w:snapToGrid w:val="0"/>
          <w:color w:val="auto"/>
          <w:kern w:val="0"/>
          <w:sz w:val="32"/>
          <w:szCs w:val="32"/>
        </w:rPr>
        <w:t>将结核病防治工作作为重要民生</w:t>
      </w:r>
      <w:r>
        <w:rPr>
          <w:rFonts w:hint="default" w:ascii="Times New Roman" w:hAnsi="Times New Roman" w:eastAsia="仿宋_GB2312" w:cs="Times New Roman"/>
          <w:snapToGrid w:val="0"/>
          <w:color w:val="auto"/>
          <w:kern w:val="0"/>
          <w:sz w:val="32"/>
          <w:szCs w:val="32"/>
          <w:lang w:val="en-US" w:eastAsia="zh-CN"/>
        </w:rPr>
        <w:t>保障事项</w:t>
      </w:r>
      <w:r>
        <w:rPr>
          <w:rFonts w:hint="default" w:ascii="Times New Roman" w:hAnsi="Times New Roman" w:eastAsia="仿宋_GB2312" w:cs="Times New Roman"/>
          <w:snapToGrid w:val="0"/>
          <w:color w:val="auto"/>
          <w:kern w:val="0"/>
          <w:sz w:val="32"/>
          <w:szCs w:val="32"/>
        </w:rPr>
        <w:t>，纳入当地经济社会发展规划和政府</w:t>
      </w:r>
      <w:r>
        <w:rPr>
          <w:rFonts w:hint="default" w:ascii="Times New Roman" w:hAnsi="Times New Roman" w:eastAsia="仿宋_GB2312" w:cs="Times New Roman"/>
          <w:snapToGrid w:val="0"/>
          <w:color w:val="auto"/>
          <w:kern w:val="0"/>
          <w:sz w:val="32"/>
          <w:szCs w:val="32"/>
          <w:lang w:val="en-US" w:eastAsia="zh-CN"/>
        </w:rPr>
        <w:t>工作的重要</w:t>
      </w:r>
      <w:r>
        <w:rPr>
          <w:rFonts w:hint="default" w:ascii="Times New Roman" w:hAnsi="Times New Roman" w:eastAsia="仿宋_GB2312" w:cs="Times New Roman"/>
          <w:snapToGrid w:val="0"/>
          <w:color w:val="auto"/>
          <w:kern w:val="0"/>
          <w:sz w:val="32"/>
          <w:szCs w:val="32"/>
        </w:rPr>
        <w:t>内容</w:t>
      </w:r>
      <w:r>
        <w:rPr>
          <w:rFonts w:hint="default" w:ascii="Times New Roman" w:hAnsi="Times New Roman" w:eastAsia="仿宋_GB2312" w:cs="Times New Roman"/>
          <w:snapToGrid w:val="0"/>
          <w:color w:val="auto"/>
          <w:kern w:val="0"/>
          <w:sz w:val="32"/>
          <w:szCs w:val="32"/>
          <w:lang w:eastAsia="zh-CN"/>
        </w:rPr>
        <w:t>。各地</w:t>
      </w:r>
      <w:r>
        <w:rPr>
          <w:rFonts w:hint="default" w:ascii="Times New Roman" w:hAnsi="Times New Roman" w:eastAsia="仿宋_GB2312" w:cs="Times New Roman"/>
          <w:snapToGrid w:val="0"/>
          <w:color w:val="auto"/>
          <w:kern w:val="0"/>
          <w:sz w:val="32"/>
          <w:szCs w:val="32"/>
        </w:rPr>
        <w:t>根据本地区疫情特点和工作实际</w:t>
      </w:r>
      <w:r>
        <w:rPr>
          <w:rFonts w:hint="eastAsia" w:ascii="Times New Roman" w:hAnsi="Times New Roman" w:eastAsia="仿宋_GB2312" w:cs="Times New Roman"/>
          <w:snapToGrid w:val="0"/>
          <w:color w:val="auto"/>
          <w:kern w:val="0"/>
          <w:sz w:val="32"/>
          <w:szCs w:val="32"/>
          <w:lang w:eastAsia="zh-CN"/>
        </w:rPr>
        <w:t>，明确防治目标和任务，进一步细化本地区</w:t>
      </w:r>
      <w:r>
        <w:rPr>
          <w:rFonts w:hint="default" w:ascii="Times New Roman" w:hAnsi="Times New Roman" w:eastAsia="仿宋_GB2312" w:cs="Times New Roman"/>
          <w:snapToGrid w:val="0"/>
          <w:color w:val="auto"/>
          <w:kern w:val="0"/>
          <w:sz w:val="32"/>
          <w:szCs w:val="32"/>
        </w:rPr>
        <w:t>结核病防治规划或工作方案</w:t>
      </w:r>
      <w:r>
        <w:rPr>
          <w:rFonts w:hint="default" w:ascii="Times New Roman" w:hAnsi="Times New Roman" w:eastAsia="仿宋_GB2312" w:cs="Times New Roman"/>
          <w:snapToGrid w:val="0"/>
          <w:color w:val="auto"/>
          <w:kern w:val="0"/>
          <w:sz w:val="32"/>
          <w:szCs w:val="32"/>
          <w:highlight w:val="none"/>
        </w:rPr>
        <w:t>。</w:t>
      </w:r>
      <w:r>
        <w:rPr>
          <w:rFonts w:hint="default" w:ascii="Times New Roman" w:hAnsi="Times New Roman" w:eastAsia="仿宋_GB2312" w:cs="Times New Roman"/>
          <w:snapToGrid w:val="0"/>
          <w:color w:val="auto"/>
          <w:kern w:val="0"/>
          <w:sz w:val="32"/>
          <w:szCs w:val="32"/>
        </w:rPr>
        <w:t>各部门协同配合，各司其职</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b/>
          <w:bCs/>
          <w:snapToGrid w:val="0"/>
          <w:color w:val="auto"/>
          <w:kern w:val="0"/>
          <w:sz w:val="32"/>
          <w:szCs w:val="32"/>
        </w:rPr>
        <w:t>疾控、卫生健康部门</w:t>
      </w:r>
      <w:r>
        <w:rPr>
          <w:rFonts w:hint="default" w:ascii="Times New Roman" w:hAnsi="Times New Roman" w:eastAsia="仿宋_GB2312" w:cs="Times New Roman"/>
          <w:snapToGrid w:val="0"/>
          <w:color w:val="auto"/>
          <w:kern w:val="0"/>
          <w:sz w:val="32"/>
          <w:szCs w:val="32"/>
        </w:rPr>
        <w:t>负责协调相关部门共同推动规划实施，优化完善防治体系，提高防治能力和服务，对结核病防治工作进行监管，对规划实施情况开展监测评价。</w:t>
      </w:r>
      <w:r>
        <w:rPr>
          <w:rFonts w:hint="default" w:ascii="Times New Roman" w:hAnsi="Times New Roman" w:eastAsia="仿宋_GB2312" w:cs="Times New Roman"/>
          <w:b/>
          <w:bCs/>
          <w:snapToGrid w:val="0"/>
          <w:color w:val="auto"/>
          <w:kern w:val="0"/>
          <w:sz w:val="32"/>
          <w:szCs w:val="32"/>
        </w:rPr>
        <w:t>发展改革部门</w:t>
      </w:r>
      <w:r>
        <w:rPr>
          <w:rFonts w:hint="default" w:ascii="Times New Roman" w:hAnsi="Times New Roman" w:eastAsia="仿宋_GB2312" w:cs="Times New Roman"/>
          <w:snapToGrid w:val="0"/>
          <w:color w:val="auto"/>
          <w:kern w:val="0"/>
          <w:sz w:val="32"/>
          <w:szCs w:val="32"/>
        </w:rPr>
        <w:t>负责支持纳入规划的结核病防治机构建设，改善结核病防治设施条件。</w:t>
      </w:r>
      <w:r>
        <w:rPr>
          <w:rFonts w:hint="default" w:ascii="Times New Roman" w:hAnsi="Times New Roman" w:eastAsia="仿宋_GB2312" w:cs="Times New Roman"/>
          <w:b/>
          <w:bCs/>
          <w:snapToGrid w:val="0"/>
          <w:color w:val="auto"/>
          <w:kern w:val="0"/>
          <w:sz w:val="32"/>
          <w:szCs w:val="32"/>
        </w:rPr>
        <w:t>教育部门</w:t>
      </w:r>
      <w:r>
        <w:rPr>
          <w:rFonts w:hint="default" w:ascii="Times New Roman" w:hAnsi="Times New Roman" w:eastAsia="仿宋_GB2312" w:cs="Times New Roman"/>
          <w:snapToGrid w:val="0"/>
          <w:color w:val="auto"/>
          <w:kern w:val="0"/>
          <w:sz w:val="32"/>
          <w:szCs w:val="32"/>
        </w:rPr>
        <w:t>依法落实学校结核病防控的行业管理责任，有效落实新生入学体检结核病筛查和教职员工入职（定期）结核病检查和健康教育等措施。</w:t>
      </w:r>
      <w:r>
        <w:rPr>
          <w:rFonts w:hint="default" w:ascii="Times New Roman" w:hAnsi="Times New Roman" w:eastAsia="仿宋_GB2312" w:cs="Times New Roman"/>
          <w:b/>
          <w:bCs/>
          <w:snapToGrid w:val="0"/>
          <w:color w:val="auto"/>
          <w:kern w:val="0"/>
          <w:sz w:val="32"/>
          <w:szCs w:val="32"/>
          <w:lang w:val="en-US" w:eastAsia="zh-CN"/>
        </w:rPr>
        <w:t>人社部门</w:t>
      </w:r>
      <w:r>
        <w:rPr>
          <w:rFonts w:hint="default" w:ascii="Times New Roman" w:hAnsi="Times New Roman" w:eastAsia="仿宋_GB2312" w:cs="Times New Roman"/>
          <w:b w:val="0"/>
          <w:bCs w:val="0"/>
          <w:snapToGrid w:val="0"/>
          <w:color w:val="auto"/>
          <w:kern w:val="0"/>
          <w:sz w:val="32"/>
          <w:szCs w:val="32"/>
          <w:lang w:val="en-US" w:eastAsia="zh-CN"/>
        </w:rPr>
        <w:t>负责技工院校的结核病防治和健康宣教工作。</w:t>
      </w:r>
      <w:r>
        <w:rPr>
          <w:rFonts w:hint="default" w:ascii="Times New Roman" w:hAnsi="Times New Roman" w:eastAsia="仿宋_GB2312" w:cs="Times New Roman"/>
          <w:b/>
          <w:bCs/>
          <w:snapToGrid w:val="0"/>
          <w:color w:val="auto"/>
          <w:kern w:val="0"/>
          <w:sz w:val="32"/>
          <w:szCs w:val="32"/>
        </w:rPr>
        <w:t>公安、司法</w:t>
      </w:r>
      <w:r>
        <w:rPr>
          <w:rFonts w:hint="eastAsia" w:ascii="Times New Roman" w:hAnsi="Times New Roman" w:eastAsia="仿宋_GB2312" w:cs="Times New Roman"/>
          <w:b/>
          <w:bCs/>
          <w:snapToGrid w:val="0"/>
          <w:color w:val="auto"/>
          <w:kern w:val="0"/>
          <w:sz w:val="32"/>
          <w:szCs w:val="32"/>
          <w:lang w:eastAsia="zh-CN"/>
        </w:rPr>
        <w:t>行政</w:t>
      </w:r>
      <w:r>
        <w:rPr>
          <w:rFonts w:hint="default" w:ascii="Times New Roman" w:hAnsi="Times New Roman" w:eastAsia="仿宋_GB2312" w:cs="Times New Roman"/>
          <w:b/>
          <w:bCs/>
          <w:snapToGrid w:val="0"/>
          <w:color w:val="auto"/>
          <w:kern w:val="0"/>
          <w:sz w:val="32"/>
          <w:szCs w:val="32"/>
        </w:rPr>
        <w:t>部门</w:t>
      </w:r>
      <w:r>
        <w:rPr>
          <w:rFonts w:hint="default" w:ascii="Times New Roman" w:hAnsi="Times New Roman" w:eastAsia="仿宋_GB2312" w:cs="Times New Roman"/>
          <w:snapToGrid w:val="0"/>
          <w:color w:val="auto"/>
          <w:kern w:val="0"/>
          <w:sz w:val="32"/>
          <w:szCs w:val="32"/>
        </w:rPr>
        <w:t>负责监狱、看守所、强制隔离戒毒所等场所的结核病防治工作，落实结核病检查和治疗管理措施。</w:t>
      </w:r>
      <w:r>
        <w:rPr>
          <w:rFonts w:hint="default" w:ascii="Times New Roman" w:hAnsi="Times New Roman" w:eastAsia="仿宋_GB2312" w:cs="Times New Roman"/>
          <w:b/>
          <w:bCs/>
          <w:snapToGrid w:val="0"/>
          <w:color w:val="auto"/>
          <w:kern w:val="0"/>
          <w:sz w:val="32"/>
          <w:szCs w:val="32"/>
          <w:highlight w:val="none"/>
        </w:rPr>
        <w:t>民政部门</w:t>
      </w:r>
      <w:r>
        <w:rPr>
          <w:rFonts w:hint="default" w:ascii="Times New Roman" w:hAnsi="Times New Roman" w:eastAsia="仿宋_GB2312" w:cs="Times New Roman"/>
          <w:snapToGrid w:val="0"/>
          <w:color w:val="auto"/>
          <w:kern w:val="0"/>
          <w:sz w:val="32"/>
          <w:szCs w:val="32"/>
          <w:highlight w:val="none"/>
        </w:rPr>
        <w:t>负责</w:t>
      </w:r>
      <w:r>
        <w:rPr>
          <w:rFonts w:hint="eastAsia" w:ascii="Times New Roman" w:hAnsi="Times New Roman" w:eastAsia="仿宋_GB2312" w:cs="Times New Roman"/>
          <w:snapToGrid w:val="0"/>
          <w:color w:val="auto"/>
          <w:kern w:val="0"/>
          <w:sz w:val="32"/>
          <w:szCs w:val="32"/>
          <w:highlight w:val="none"/>
          <w:lang w:eastAsia="zh-CN"/>
        </w:rPr>
        <w:t>将</w:t>
      </w:r>
      <w:r>
        <w:rPr>
          <w:rFonts w:hint="default" w:ascii="Times New Roman" w:hAnsi="Times New Roman" w:eastAsia="仿宋_GB2312" w:cs="Times New Roman"/>
          <w:snapToGrid w:val="0"/>
          <w:color w:val="auto"/>
          <w:kern w:val="0"/>
          <w:sz w:val="32"/>
          <w:szCs w:val="32"/>
          <w:highlight w:val="none"/>
        </w:rPr>
        <w:t>符合条件</w:t>
      </w:r>
      <w:r>
        <w:rPr>
          <w:rFonts w:hint="eastAsia" w:ascii="Times New Roman" w:hAnsi="Times New Roman" w:eastAsia="仿宋_GB2312" w:cs="Times New Roman"/>
          <w:snapToGrid w:val="0"/>
          <w:color w:val="auto"/>
          <w:kern w:val="0"/>
          <w:sz w:val="32"/>
          <w:szCs w:val="32"/>
          <w:highlight w:val="none"/>
          <w:lang w:eastAsia="zh-CN"/>
        </w:rPr>
        <w:t>的</w:t>
      </w:r>
      <w:r>
        <w:rPr>
          <w:rFonts w:hint="default" w:ascii="Times New Roman" w:hAnsi="Times New Roman" w:eastAsia="仿宋_GB2312" w:cs="Times New Roman"/>
          <w:snapToGrid w:val="0"/>
          <w:color w:val="auto"/>
          <w:kern w:val="0"/>
          <w:sz w:val="32"/>
          <w:szCs w:val="32"/>
          <w:highlight w:val="none"/>
        </w:rPr>
        <w:t>结核病患者</w:t>
      </w:r>
      <w:r>
        <w:rPr>
          <w:rFonts w:hint="default" w:ascii="Times New Roman" w:hAnsi="Times New Roman" w:eastAsia="仿宋_GB2312" w:cs="Times New Roman"/>
          <w:snapToGrid w:val="0"/>
          <w:color w:val="auto"/>
          <w:kern w:val="0"/>
          <w:sz w:val="32"/>
          <w:szCs w:val="32"/>
          <w:highlight w:val="none"/>
          <w:lang w:eastAsia="zh-CN"/>
        </w:rPr>
        <w:t>纳入社会</w:t>
      </w:r>
      <w:r>
        <w:rPr>
          <w:rFonts w:hint="default" w:ascii="Times New Roman" w:hAnsi="Times New Roman" w:eastAsia="仿宋_GB2312" w:cs="Times New Roman"/>
          <w:snapToGrid w:val="0"/>
          <w:color w:val="auto"/>
          <w:kern w:val="0"/>
          <w:sz w:val="32"/>
          <w:szCs w:val="32"/>
          <w:highlight w:val="none"/>
        </w:rPr>
        <w:t>救助范围，</w:t>
      </w:r>
      <w:r>
        <w:rPr>
          <w:rFonts w:hint="default" w:ascii="Times New Roman" w:hAnsi="Times New Roman" w:eastAsia="仿宋_GB2312" w:cs="Times New Roman"/>
          <w:snapToGrid w:val="0"/>
          <w:color w:val="auto"/>
          <w:kern w:val="0"/>
          <w:sz w:val="32"/>
          <w:szCs w:val="32"/>
          <w:highlight w:val="none"/>
          <w:lang w:val="en-US" w:eastAsia="zh-CN"/>
        </w:rPr>
        <w:t>做好社会</w:t>
      </w:r>
      <w:r>
        <w:rPr>
          <w:rFonts w:hint="default" w:ascii="Times New Roman" w:hAnsi="Times New Roman" w:eastAsia="仿宋_GB2312" w:cs="Times New Roman"/>
          <w:snapToGrid w:val="0"/>
          <w:color w:val="auto"/>
          <w:kern w:val="0"/>
          <w:sz w:val="32"/>
          <w:szCs w:val="32"/>
          <w:highlight w:val="none"/>
        </w:rPr>
        <w:t>养老机构、福利机构和未成年人救助保护机构的结核病防治工作。</w:t>
      </w:r>
      <w:r>
        <w:rPr>
          <w:rFonts w:hint="default" w:ascii="Times New Roman" w:hAnsi="Times New Roman" w:eastAsia="仿宋_GB2312" w:cs="Times New Roman"/>
          <w:b/>
          <w:bCs/>
          <w:snapToGrid w:val="0"/>
          <w:color w:val="auto"/>
          <w:kern w:val="0"/>
          <w:sz w:val="32"/>
          <w:szCs w:val="32"/>
        </w:rPr>
        <w:t>财政部门</w:t>
      </w:r>
      <w:r>
        <w:rPr>
          <w:rFonts w:hint="default" w:ascii="Times New Roman" w:hAnsi="Times New Roman" w:eastAsia="仿宋_GB2312" w:cs="Times New Roman"/>
          <w:snapToGrid w:val="0"/>
          <w:color w:val="auto"/>
          <w:kern w:val="0"/>
          <w:sz w:val="32"/>
          <w:szCs w:val="32"/>
        </w:rPr>
        <w:t>按规定落实防治相关投入政策，推动提高资金使用效益。</w:t>
      </w:r>
      <w:r>
        <w:rPr>
          <w:rFonts w:hint="default" w:ascii="Times New Roman" w:hAnsi="Times New Roman" w:eastAsia="仿宋_GB2312" w:cs="Times New Roman"/>
          <w:b/>
          <w:bCs/>
          <w:snapToGrid w:val="0"/>
          <w:color w:val="auto"/>
          <w:kern w:val="0"/>
          <w:sz w:val="32"/>
          <w:szCs w:val="32"/>
        </w:rPr>
        <w:t>医保部门</w:t>
      </w:r>
      <w:r>
        <w:rPr>
          <w:rFonts w:hint="default" w:ascii="Times New Roman" w:hAnsi="Times New Roman" w:eastAsia="仿宋_GB2312" w:cs="Times New Roman"/>
          <w:snapToGrid w:val="0"/>
          <w:color w:val="auto"/>
          <w:kern w:val="0"/>
          <w:sz w:val="32"/>
          <w:szCs w:val="32"/>
        </w:rPr>
        <w:t>负责完善医保政策，做好结核病患者医疗保障工作，</w:t>
      </w:r>
      <w:r>
        <w:rPr>
          <w:rFonts w:hint="default" w:ascii="Times New Roman" w:hAnsi="Times New Roman" w:eastAsia="仿宋_GB2312" w:cs="Times New Roman"/>
          <w:snapToGrid w:val="0"/>
          <w:color w:val="auto"/>
          <w:kern w:val="0"/>
          <w:sz w:val="32"/>
          <w:szCs w:val="32"/>
          <w:lang w:val="en-US" w:eastAsia="zh-CN"/>
        </w:rPr>
        <w:t>加强对</w:t>
      </w:r>
      <w:r>
        <w:rPr>
          <w:rFonts w:hint="default" w:ascii="Times New Roman" w:hAnsi="Times New Roman" w:eastAsia="仿宋_GB2312" w:cs="Times New Roman"/>
          <w:snapToGrid w:val="0"/>
          <w:color w:val="auto"/>
          <w:kern w:val="0"/>
          <w:sz w:val="32"/>
          <w:szCs w:val="32"/>
        </w:rPr>
        <w:t>耐药结核病患者的医疗保障。</w:t>
      </w:r>
      <w:r>
        <w:rPr>
          <w:rFonts w:hint="default" w:ascii="Times New Roman" w:hAnsi="Times New Roman" w:eastAsia="仿宋_GB2312" w:cs="Times New Roman"/>
          <w:b/>
          <w:bCs/>
          <w:snapToGrid w:val="0"/>
          <w:color w:val="auto"/>
          <w:kern w:val="0"/>
          <w:sz w:val="32"/>
          <w:szCs w:val="32"/>
        </w:rPr>
        <w:t>药监部门</w:t>
      </w:r>
      <w:r>
        <w:rPr>
          <w:rFonts w:hint="default" w:ascii="Times New Roman" w:hAnsi="Times New Roman" w:eastAsia="仿宋_GB2312" w:cs="Times New Roman"/>
          <w:snapToGrid w:val="0"/>
          <w:color w:val="auto"/>
          <w:kern w:val="0"/>
          <w:sz w:val="32"/>
          <w:szCs w:val="32"/>
        </w:rPr>
        <w:t>负责加强对抗结核药品的审批和质量监督，支持结核病新药品、新试剂和新疫苗的注册。</w:t>
      </w:r>
      <w:r>
        <w:rPr>
          <w:rFonts w:hint="default" w:ascii="Times New Roman" w:hAnsi="Times New Roman" w:eastAsia="仿宋_GB2312" w:cs="Times New Roman"/>
          <w:b/>
          <w:bCs/>
          <w:snapToGrid w:val="0"/>
          <w:color w:val="auto"/>
          <w:kern w:val="0"/>
          <w:sz w:val="32"/>
          <w:szCs w:val="32"/>
        </w:rPr>
        <w:t>科技</w:t>
      </w:r>
      <w:r>
        <w:rPr>
          <w:rFonts w:hint="default" w:ascii="Times New Roman" w:hAnsi="Times New Roman" w:eastAsia="仿宋_GB2312" w:cs="Times New Roman"/>
          <w:b/>
          <w:bCs/>
          <w:snapToGrid w:val="0"/>
          <w:color w:val="auto"/>
          <w:kern w:val="0"/>
          <w:sz w:val="32"/>
          <w:szCs w:val="32"/>
          <w:lang w:val="en-US" w:eastAsia="zh-CN"/>
        </w:rPr>
        <w:t>部门</w:t>
      </w:r>
      <w:r>
        <w:rPr>
          <w:rFonts w:hint="default" w:ascii="Times New Roman" w:hAnsi="Times New Roman" w:eastAsia="仿宋_GB2312" w:cs="Times New Roman"/>
          <w:b w:val="0"/>
          <w:bCs w:val="0"/>
          <w:snapToGrid w:val="0"/>
          <w:color w:val="auto"/>
          <w:kern w:val="0"/>
          <w:sz w:val="32"/>
          <w:szCs w:val="32"/>
          <w:lang w:val="en-US" w:eastAsia="zh-CN"/>
        </w:rPr>
        <w:t>负责加强</w:t>
      </w:r>
      <w:r>
        <w:rPr>
          <w:rFonts w:hint="default" w:ascii="Times New Roman" w:hAnsi="Times New Roman" w:eastAsia="仿宋_GB2312" w:cs="Times New Roman"/>
          <w:snapToGrid w:val="0"/>
          <w:color w:val="auto"/>
          <w:kern w:val="0"/>
          <w:sz w:val="32"/>
          <w:szCs w:val="32"/>
        </w:rPr>
        <w:t>结核病防治科技支撑</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b/>
          <w:bCs/>
          <w:snapToGrid w:val="0"/>
          <w:color w:val="auto"/>
          <w:kern w:val="0"/>
          <w:sz w:val="32"/>
          <w:szCs w:val="32"/>
        </w:rPr>
        <w:t>工业和信息化、农业农村、海关、广电等部门</w:t>
      </w:r>
      <w:r>
        <w:rPr>
          <w:rFonts w:hint="default" w:ascii="Times New Roman" w:hAnsi="Times New Roman" w:eastAsia="仿宋_GB2312" w:cs="Times New Roman"/>
          <w:snapToGrid w:val="0"/>
          <w:color w:val="auto"/>
          <w:kern w:val="0"/>
          <w:sz w:val="32"/>
          <w:szCs w:val="32"/>
        </w:rPr>
        <w:t>要在职责范围内，做好抗结核药品试剂生产供应保障、结核病患者防止返贫致贫监测、口岸结核病排查处置、结核病防治知识宣传等工作</w:t>
      </w:r>
      <w:r>
        <w:rPr>
          <w:rFonts w:hint="default" w:ascii="Times New Roman" w:hAnsi="Times New Roman" w:eastAsia="仿宋_GB2312" w:cs="Times New Roman"/>
          <w:snapToGrid w:val="0"/>
          <w:color w:val="auto"/>
          <w:kern w:val="0"/>
          <w:sz w:val="32"/>
          <w:szCs w:val="32"/>
          <w:lang w:eastAsia="zh-CN"/>
        </w:rPr>
        <w:t>。</w:t>
      </w:r>
    </w:p>
    <w:p w14:paraId="434327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黑体" w:cs="Times New Roman"/>
          <w:snapToGrid w:val="0"/>
          <w:color w:val="auto"/>
          <w:kern w:val="0"/>
          <w:sz w:val="32"/>
          <w:szCs w:val="32"/>
        </w:rPr>
      </w:pPr>
      <w:r>
        <w:rPr>
          <w:rFonts w:hint="eastAsia" w:eastAsia="黑体" w:cs="Times New Roman"/>
          <w:snapToGrid w:val="0"/>
          <w:color w:val="auto"/>
          <w:kern w:val="0"/>
          <w:sz w:val="32"/>
          <w:szCs w:val="32"/>
          <w:lang w:eastAsia="zh-CN"/>
        </w:rPr>
        <w:t>四</w:t>
      </w:r>
      <w:r>
        <w:rPr>
          <w:rFonts w:hint="default" w:ascii="Times New Roman" w:hAnsi="Times New Roman" w:eastAsia="黑体" w:cs="Times New Roman"/>
          <w:snapToGrid w:val="0"/>
          <w:color w:val="auto"/>
          <w:kern w:val="0"/>
          <w:sz w:val="32"/>
          <w:szCs w:val="32"/>
        </w:rPr>
        <w:t>、</w:t>
      </w:r>
      <w:r>
        <w:rPr>
          <w:rFonts w:hint="default" w:ascii="Times New Roman" w:hAnsi="Times New Roman" w:eastAsia="黑体" w:cs="Times New Roman"/>
          <w:snapToGrid w:val="0"/>
          <w:color w:val="auto"/>
          <w:kern w:val="0"/>
          <w:sz w:val="32"/>
          <w:szCs w:val="32"/>
          <w:lang w:eastAsia="zh-CN"/>
        </w:rPr>
        <w:t>科学开展</w:t>
      </w:r>
      <w:r>
        <w:rPr>
          <w:rFonts w:hint="default" w:ascii="Times New Roman" w:hAnsi="Times New Roman" w:eastAsia="黑体" w:cs="Times New Roman"/>
          <w:snapToGrid w:val="0"/>
          <w:color w:val="auto"/>
          <w:kern w:val="0"/>
          <w:sz w:val="32"/>
          <w:szCs w:val="32"/>
        </w:rPr>
        <w:t>评估</w:t>
      </w:r>
    </w:p>
    <w:p w14:paraId="07F6E0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各</w:t>
      </w:r>
      <w:r>
        <w:rPr>
          <w:rFonts w:hint="default" w:ascii="Times New Roman" w:hAnsi="Times New Roman" w:eastAsia="仿宋_GB2312" w:cs="Times New Roman"/>
          <w:snapToGrid w:val="0"/>
          <w:color w:val="auto"/>
          <w:kern w:val="0"/>
          <w:sz w:val="32"/>
          <w:szCs w:val="32"/>
          <w:lang w:val="en-US" w:eastAsia="zh-CN"/>
        </w:rPr>
        <w:t>地</w:t>
      </w:r>
      <w:r>
        <w:rPr>
          <w:rFonts w:hint="default" w:ascii="Times New Roman" w:hAnsi="Times New Roman" w:eastAsia="仿宋_GB2312" w:cs="Times New Roman"/>
          <w:snapToGrid w:val="0"/>
          <w:color w:val="auto"/>
          <w:kern w:val="0"/>
          <w:sz w:val="32"/>
          <w:szCs w:val="32"/>
        </w:rPr>
        <w:t>要组织对本地区规划执行情况的监测评</w:t>
      </w:r>
      <w:r>
        <w:rPr>
          <w:rFonts w:hint="eastAsia" w:eastAsia="仿宋_GB2312" w:cs="Times New Roman"/>
          <w:snapToGrid w:val="0"/>
          <w:color w:val="auto"/>
          <w:kern w:val="0"/>
          <w:sz w:val="32"/>
          <w:szCs w:val="32"/>
          <w:lang w:eastAsia="zh-CN"/>
        </w:rPr>
        <w:t>估</w:t>
      </w:r>
      <w:r>
        <w:rPr>
          <w:rFonts w:hint="default" w:ascii="Times New Roman" w:hAnsi="Times New Roman" w:eastAsia="仿宋_GB2312" w:cs="Times New Roman"/>
          <w:snapToGrid w:val="0"/>
          <w:color w:val="auto"/>
          <w:kern w:val="0"/>
          <w:sz w:val="32"/>
          <w:szCs w:val="32"/>
        </w:rPr>
        <w:t>，发现问题及时解决，将评估结果和工作改进情况作为</w:t>
      </w:r>
      <w:r>
        <w:rPr>
          <w:rFonts w:hint="eastAsia" w:eastAsia="仿宋_GB2312" w:cs="Times New Roman"/>
          <w:snapToGrid w:val="0"/>
          <w:color w:val="auto"/>
          <w:kern w:val="0"/>
          <w:sz w:val="32"/>
          <w:szCs w:val="32"/>
          <w:lang w:eastAsia="zh-CN"/>
        </w:rPr>
        <w:t>调整</w:t>
      </w:r>
      <w:r>
        <w:rPr>
          <w:rFonts w:hint="default" w:ascii="Times New Roman" w:hAnsi="Times New Roman" w:eastAsia="仿宋_GB2312" w:cs="Times New Roman"/>
          <w:snapToGrid w:val="0"/>
          <w:color w:val="auto"/>
          <w:kern w:val="0"/>
          <w:sz w:val="32"/>
          <w:szCs w:val="32"/>
        </w:rPr>
        <w:t>财政投入、</w:t>
      </w:r>
      <w:r>
        <w:rPr>
          <w:rFonts w:hint="eastAsia" w:eastAsia="仿宋_GB2312" w:cs="Times New Roman"/>
          <w:snapToGrid w:val="0"/>
          <w:color w:val="auto"/>
          <w:kern w:val="0"/>
          <w:sz w:val="32"/>
          <w:szCs w:val="32"/>
          <w:lang w:eastAsia="zh-CN"/>
        </w:rPr>
        <w:t>优化</w:t>
      </w:r>
      <w:r>
        <w:rPr>
          <w:rFonts w:hint="default" w:ascii="Times New Roman" w:hAnsi="Times New Roman" w:eastAsia="仿宋_GB2312" w:cs="Times New Roman"/>
          <w:snapToGrid w:val="0"/>
          <w:color w:val="auto"/>
          <w:kern w:val="0"/>
          <w:sz w:val="32"/>
          <w:szCs w:val="32"/>
        </w:rPr>
        <w:t>医保支付</w:t>
      </w:r>
      <w:r>
        <w:rPr>
          <w:rFonts w:hint="eastAsia" w:eastAsia="仿宋_GB2312" w:cs="Times New Roman"/>
          <w:snapToGrid w:val="0"/>
          <w:color w:val="auto"/>
          <w:kern w:val="0"/>
          <w:sz w:val="32"/>
          <w:szCs w:val="32"/>
          <w:lang w:eastAsia="zh-CN"/>
        </w:rPr>
        <w:t>政策</w:t>
      </w:r>
      <w:r>
        <w:rPr>
          <w:rFonts w:hint="default" w:ascii="Times New Roman" w:hAnsi="Times New Roman" w:eastAsia="仿宋_GB2312" w:cs="Times New Roman"/>
          <w:snapToGrid w:val="0"/>
          <w:color w:val="auto"/>
          <w:kern w:val="0"/>
          <w:sz w:val="32"/>
          <w:szCs w:val="32"/>
        </w:rPr>
        <w:t>、评审医疗卫生机构</w:t>
      </w:r>
      <w:r>
        <w:rPr>
          <w:rFonts w:hint="eastAsia" w:eastAsia="仿宋_GB2312" w:cs="Times New Roman"/>
          <w:snapToGrid w:val="0"/>
          <w:color w:val="auto"/>
          <w:kern w:val="0"/>
          <w:sz w:val="32"/>
          <w:szCs w:val="32"/>
          <w:lang w:eastAsia="zh-CN"/>
        </w:rPr>
        <w:t>的</w:t>
      </w:r>
      <w:r>
        <w:rPr>
          <w:rFonts w:hint="default" w:ascii="Times New Roman" w:hAnsi="Times New Roman" w:eastAsia="仿宋_GB2312" w:cs="Times New Roman"/>
          <w:snapToGrid w:val="0"/>
          <w:color w:val="auto"/>
          <w:kern w:val="0"/>
          <w:sz w:val="32"/>
          <w:szCs w:val="32"/>
        </w:rPr>
        <w:t>重要依据。省疾控局</w:t>
      </w:r>
      <w:r>
        <w:rPr>
          <w:rFonts w:hint="default" w:ascii="Times New Roman" w:hAnsi="Times New Roman" w:eastAsia="仿宋_GB2312" w:cs="Times New Roman"/>
          <w:snapToGrid w:val="0"/>
          <w:color w:val="auto"/>
          <w:kern w:val="0"/>
          <w:sz w:val="32"/>
          <w:szCs w:val="32"/>
          <w:lang w:val="en-US" w:eastAsia="zh-CN"/>
        </w:rPr>
        <w:t>依职责</w:t>
      </w:r>
      <w:r>
        <w:rPr>
          <w:rFonts w:hint="default" w:ascii="Times New Roman" w:hAnsi="Times New Roman" w:eastAsia="仿宋_GB2312" w:cs="Times New Roman"/>
          <w:snapToGrid w:val="0"/>
          <w:color w:val="auto"/>
          <w:kern w:val="0"/>
          <w:sz w:val="32"/>
          <w:szCs w:val="32"/>
        </w:rPr>
        <w:t>会同有关部门组织对各</w:t>
      </w:r>
      <w:r>
        <w:rPr>
          <w:rFonts w:hint="eastAsia" w:ascii="Times New Roman" w:hAnsi="Times New Roman" w:eastAsia="仿宋_GB2312" w:cs="Times New Roman"/>
          <w:snapToGrid w:val="0"/>
          <w:color w:val="auto"/>
          <w:kern w:val="0"/>
          <w:sz w:val="32"/>
          <w:szCs w:val="32"/>
          <w:lang w:eastAsia="zh-CN"/>
        </w:rPr>
        <w:t>市</w:t>
      </w:r>
      <w:r>
        <w:rPr>
          <w:rFonts w:hint="default" w:ascii="Times New Roman" w:hAnsi="Times New Roman" w:eastAsia="仿宋_GB2312" w:cs="Times New Roman"/>
          <w:snapToGrid w:val="0"/>
          <w:color w:val="auto"/>
          <w:kern w:val="0"/>
          <w:sz w:val="32"/>
          <w:szCs w:val="32"/>
        </w:rPr>
        <w:t>规划执行情况开展系统评估，并</w:t>
      </w:r>
      <w:r>
        <w:rPr>
          <w:rFonts w:hint="default" w:ascii="Times New Roman" w:hAnsi="Times New Roman" w:eastAsia="仿宋_GB2312" w:cs="Times New Roman"/>
          <w:snapToGrid w:val="0"/>
          <w:color w:val="auto"/>
          <w:kern w:val="0"/>
          <w:sz w:val="32"/>
          <w:szCs w:val="32"/>
          <w:lang w:eastAsia="zh-CN"/>
        </w:rPr>
        <w:t>按照国家规划要求</w:t>
      </w:r>
      <w:r>
        <w:rPr>
          <w:rFonts w:hint="default" w:ascii="Times New Roman" w:hAnsi="Times New Roman" w:eastAsia="仿宋_GB2312" w:cs="Times New Roman"/>
          <w:snapToGrid w:val="0"/>
          <w:color w:val="auto"/>
          <w:kern w:val="0"/>
          <w:sz w:val="32"/>
          <w:szCs w:val="32"/>
        </w:rPr>
        <w:t>进行阶段性评估和终期评估。</w:t>
      </w:r>
    </w:p>
    <w:p w14:paraId="43DCAC4D">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snapToGrid w:val="0"/>
          <w:color w:val="auto"/>
          <w:kern w:val="0"/>
          <w:sz w:val="32"/>
          <w:szCs w:val="32"/>
          <w:lang w:val="en-US" w:eastAsia="zh-CN"/>
        </w:rPr>
      </w:pPr>
    </w:p>
    <w:p w14:paraId="4C5601AF">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附件：</w:t>
      </w:r>
      <w:r>
        <w:rPr>
          <w:rFonts w:hint="default" w:ascii="Times New Roman" w:hAnsi="Times New Roman" w:eastAsia="仿宋_GB2312" w:cs="Times New Roman"/>
          <w:snapToGrid w:val="0"/>
          <w:color w:val="auto"/>
          <w:kern w:val="0"/>
          <w:sz w:val="32"/>
          <w:szCs w:val="32"/>
        </w:rPr>
        <w:t>广东省结核病防治规划目标表（2025</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2030年）</w:t>
      </w:r>
    </w:p>
    <w:p w14:paraId="61D540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2CC53B3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rPr>
      </w:pPr>
    </w:p>
    <w:p w14:paraId="3224F11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rPr>
      </w:pPr>
    </w:p>
    <w:p w14:paraId="540987C7">
      <w:pPr>
        <w:pStyle w:val="2"/>
        <w:rPr>
          <w:rFonts w:hint="eastAsia" w:ascii="黑体" w:hAnsi="黑体" w:eastAsia="黑体" w:cs="黑体"/>
          <w:sz w:val="32"/>
          <w:szCs w:val="32"/>
        </w:rPr>
      </w:pPr>
    </w:p>
    <w:p w14:paraId="1EEB5CCA">
      <w:pPr>
        <w:pStyle w:val="3"/>
        <w:rPr>
          <w:rFonts w:hint="eastAsia" w:ascii="黑体" w:hAnsi="黑体" w:eastAsia="黑体" w:cs="黑体"/>
          <w:sz w:val="32"/>
          <w:szCs w:val="32"/>
        </w:rPr>
      </w:pPr>
    </w:p>
    <w:p w14:paraId="7A19A5CD">
      <w:pPr>
        <w:rPr>
          <w:rFonts w:hint="eastAsia" w:ascii="黑体" w:hAnsi="黑体" w:eastAsia="黑体" w:cs="黑体"/>
          <w:sz w:val="32"/>
          <w:szCs w:val="32"/>
        </w:rPr>
      </w:pPr>
    </w:p>
    <w:p w14:paraId="12845D62">
      <w:pPr>
        <w:pStyle w:val="2"/>
        <w:rPr>
          <w:rFonts w:hint="eastAsia" w:ascii="黑体" w:hAnsi="黑体" w:eastAsia="黑体" w:cs="黑体"/>
          <w:sz w:val="32"/>
          <w:szCs w:val="32"/>
        </w:rPr>
      </w:pPr>
    </w:p>
    <w:p w14:paraId="22374E4C">
      <w:pPr>
        <w:pStyle w:val="3"/>
        <w:rPr>
          <w:rFonts w:hint="eastAsia"/>
        </w:rPr>
      </w:pPr>
    </w:p>
    <w:p w14:paraId="6C02C274">
      <w:pPr>
        <w:rPr>
          <w:rFonts w:hint="eastAsia"/>
        </w:rPr>
      </w:pPr>
    </w:p>
    <w:p w14:paraId="00AB20B0">
      <w:pPr>
        <w:pStyle w:val="2"/>
        <w:rPr>
          <w:rFonts w:hint="eastAsia"/>
        </w:rPr>
      </w:pPr>
    </w:p>
    <w:p w14:paraId="02A8DA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rPr>
      </w:pPr>
    </w:p>
    <w:p w14:paraId="27B57B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14:paraId="302D449F">
      <w:pPr>
        <w:pStyle w:val="2"/>
        <w:keepNext w:val="0"/>
        <w:keepLines w:val="0"/>
        <w:pageBreakBefore w:val="0"/>
        <w:widowControl w:val="0"/>
        <w:kinsoku/>
        <w:wordWrap/>
        <w:overflowPunct/>
        <w:topLinePunct w:val="0"/>
        <w:autoSpaceDE/>
        <w:autoSpaceDN/>
        <w:bidi w:val="0"/>
        <w:adjustRightInd/>
        <w:snapToGrid w:val="0"/>
        <w:spacing w:after="0"/>
        <w:textAlignment w:val="auto"/>
        <w:rPr>
          <w:rFonts w:hint="eastAsia"/>
          <w:lang w:val="en-US" w:eastAsia="zh-CN"/>
        </w:rPr>
      </w:pPr>
    </w:p>
    <w:p w14:paraId="17E0FE45">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rPr>
          <w:rFonts w:hint="default" w:ascii="宋体" w:hAnsi="宋体" w:eastAsia="方正小标宋简体" w:cs="方正小标宋简体"/>
          <w:sz w:val="44"/>
          <w:szCs w:val="44"/>
        </w:rPr>
      </w:pPr>
      <w:r>
        <w:rPr>
          <w:rFonts w:hint="eastAsia" w:ascii="宋体" w:hAnsi="宋体" w:eastAsia="方正小标宋简体" w:cs="方正小标宋简体"/>
          <w:sz w:val="44"/>
          <w:szCs w:val="44"/>
          <w:lang w:eastAsia="zh-CN"/>
        </w:rPr>
        <w:t>广东</w:t>
      </w:r>
      <w:r>
        <w:rPr>
          <w:rFonts w:hint="eastAsia" w:ascii="宋体" w:hAnsi="宋体" w:eastAsia="方正小标宋简体" w:cs="方正小标宋简体"/>
          <w:sz w:val="44"/>
          <w:szCs w:val="44"/>
        </w:rPr>
        <w:t>省结核病防治规划目标</w:t>
      </w:r>
      <w:r>
        <w:rPr>
          <w:rFonts w:hint="default" w:ascii="宋体" w:hAnsi="宋体" w:eastAsia="方正小标宋简体" w:cs="方正小标宋简体"/>
          <w:sz w:val="44"/>
          <w:szCs w:val="44"/>
        </w:rPr>
        <w:t>表</w:t>
      </w:r>
    </w:p>
    <w:p w14:paraId="22F85244">
      <w:pPr>
        <w:keepNext w:val="0"/>
        <w:keepLines w:val="0"/>
        <w:pageBreakBefore w:val="0"/>
        <w:widowControl w:val="0"/>
        <w:kinsoku/>
        <w:wordWrap/>
        <w:overflowPunct w:val="0"/>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2030年）</w:t>
      </w:r>
    </w:p>
    <w:p w14:paraId="0A7182A3">
      <w:pPr>
        <w:pStyle w:val="2"/>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262"/>
        <w:gridCol w:w="3862"/>
        <w:gridCol w:w="1338"/>
        <w:gridCol w:w="1338"/>
      </w:tblGrid>
      <w:tr w14:paraId="172F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522" w:type="dxa"/>
            <w:gridSpan w:val="2"/>
            <w:tcBorders>
              <w:top w:val="single" w:color="auto" w:sz="4" w:space="0"/>
              <w:left w:val="single" w:color="auto" w:sz="4" w:space="0"/>
              <w:bottom w:val="single" w:color="auto" w:sz="4" w:space="0"/>
              <w:right w:val="single" w:color="auto" w:sz="4" w:space="0"/>
            </w:tcBorders>
            <w:noWrap w:val="0"/>
            <w:vAlign w:val="center"/>
          </w:tcPr>
          <w:p w14:paraId="2E985EAD">
            <w:pPr>
              <w:keepNext w:val="0"/>
              <w:keepLines w:val="0"/>
              <w:pageBreakBefore w:val="0"/>
              <w:widowControl w:val="0"/>
              <w:kinsoku/>
              <w:wordWrap/>
              <w:topLinePunct w:val="0"/>
              <w:autoSpaceDE/>
              <w:autoSpaceDN/>
              <w:bidi w:val="0"/>
              <w:adjustRightInd/>
              <w:snapToGrid/>
              <w:spacing w:line="500" w:lineRule="exact"/>
              <w:jc w:val="center"/>
              <w:textAlignment w:val="auto"/>
              <w:rPr>
                <w:rFonts w:hint="default" w:ascii="Times New Roman" w:hAnsi="Times New Roman" w:eastAsia="黑体" w:cs="Times New Roman"/>
                <w:b w:val="0"/>
                <w:bCs w:val="0"/>
                <w:i w:val="0"/>
                <w:iCs w:val="0"/>
                <w:color w:val="auto"/>
                <w:sz w:val="28"/>
                <w:szCs w:val="28"/>
              </w:rPr>
            </w:pPr>
            <w:r>
              <w:rPr>
                <w:rFonts w:hint="default" w:ascii="Times New Roman" w:hAnsi="Times New Roman" w:eastAsia="黑体" w:cs="Times New Roman"/>
                <w:b w:val="0"/>
                <w:bCs w:val="0"/>
                <w:i w:val="0"/>
                <w:iCs w:val="0"/>
                <w:color w:val="auto"/>
                <w:sz w:val="28"/>
                <w:szCs w:val="28"/>
              </w:rPr>
              <w:t>领域</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0C1A3BEF">
            <w:pPr>
              <w:keepNext w:val="0"/>
              <w:keepLines w:val="0"/>
              <w:pageBreakBefore w:val="0"/>
              <w:widowControl w:val="0"/>
              <w:kinsoku/>
              <w:wordWrap/>
              <w:topLinePunct w:val="0"/>
              <w:autoSpaceDE/>
              <w:autoSpaceDN/>
              <w:bidi w:val="0"/>
              <w:adjustRightInd/>
              <w:snapToGrid/>
              <w:spacing w:line="500" w:lineRule="exact"/>
              <w:jc w:val="center"/>
              <w:textAlignment w:val="auto"/>
              <w:rPr>
                <w:rFonts w:hint="default" w:ascii="Times New Roman" w:hAnsi="Times New Roman" w:eastAsia="黑体" w:cs="Times New Roman"/>
                <w:b w:val="0"/>
                <w:bCs w:val="0"/>
                <w:i w:val="0"/>
                <w:iCs w:val="0"/>
                <w:color w:val="auto"/>
                <w:sz w:val="28"/>
                <w:szCs w:val="28"/>
              </w:rPr>
            </w:pPr>
            <w:r>
              <w:rPr>
                <w:rFonts w:hint="default" w:ascii="Times New Roman" w:hAnsi="Times New Roman" w:eastAsia="黑体" w:cs="Times New Roman"/>
                <w:b w:val="0"/>
                <w:bCs w:val="0"/>
                <w:i w:val="0"/>
                <w:iCs w:val="0"/>
                <w:color w:val="auto"/>
                <w:sz w:val="28"/>
                <w:szCs w:val="28"/>
              </w:rPr>
              <w:t>指标</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68F944EF">
            <w:pPr>
              <w:keepNext w:val="0"/>
              <w:keepLines w:val="0"/>
              <w:pageBreakBefore w:val="0"/>
              <w:widowControl w:val="0"/>
              <w:kinsoku/>
              <w:wordWrap/>
              <w:topLinePunct w:val="0"/>
              <w:autoSpaceDE/>
              <w:autoSpaceDN/>
              <w:bidi w:val="0"/>
              <w:adjustRightInd/>
              <w:snapToGrid/>
              <w:spacing w:line="500" w:lineRule="exact"/>
              <w:jc w:val="center"/>
              <w:textAlignment w:val="auto"/>
              <w:rPr>
                <w:rFonts w:hint="default" w:ascii="Times New Roman" w:hAnsi="Times New Roman" w:eastAsia="黑体" w:cs="Times New Roman"/>
                <w:b w:val="0"/>
                <w:bCs w:val="0"/>
                <w:i w:val="0"/>
                <w:iCs w:val="0"/>
                <w:color w:val="auto"/>
                <w:sz w:val="28"/>
                <w:szCs w:val="28"/>
              </w:rPr>
            </w:pPr>
            <w:r>
              <w:rPr>
                <w:rFonts w:hint="default" w:ascii="Times New Roman" w:hAnsi="Times New Roman" w:eastAsia="黑体" w:cs="Times New Roman"/>
                <w:b w:val="0"/>
                <w:bCs w:val="0"/>
                <w:i w:val="0"/>
                <w:iCs w:val="0"/>
                <w:color w:val="auto"/>
                <w:sz w:val="28"/>
                <w:szCs w:val="28"/>
              </w:rPr>
              <w:t>2025年</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37FF99F0">
            <w:pPr>
              <w:keepNext w:val="0"/>
              <w:keepLines w:val="0"/>
              <w:pageBreakBefore w:val="0"/>
              <w:widowControl w:val="0"/>
              <w:kinsoku/>
              <w:wordWrap/>
              <w:topLinePunct w:val="0"/>
              <w:autoSpaceDE/>
              <w:autoSpaceDN/>
              <w:bidi w:val="0"/>
              <w:adjustRightInd/>
              <w:snapToGrid/>
              <w:spacing w:line="500" w:lineRule="exact"/>
              <w:jc w:val="center"/>
              <w:textAlignment w:val="auto"/>
              <w:rPr>
                <w:rFonts w:hint="default" w:ascii="Times New Roman" w:hAnsi="Times New Roman" w:eastAsia="黑体" w:cs="Times New Roman"/>
                <w:b w:val="0"/>
                <w:bCs w:val="0"/>
                <w:i w:val="0"/>
                <w:iCs w:val="0"/>
                <w:color w:val="auto"/>
                <w:sz w:val="28"/>
                <w:szCs w:val="28"/>
              </w:rPr>
            </w:pPr>
            <w:r>
              <w:rPr>
                <w:rFonts w:hint="default" w:ascii="Times New Roman" w:hAnsi="Times New Roman" w:eastAsia="黑体" w:cs="Times New Roman"/>
                <w:b w:val="0"/>
                <w:bCs w:val="0"/>
                <w:i w:val="0"/>
                <w:iCs w:val="0"/>
                <w:color w:val="auto"/>
                <w:sz w:val="28"/>
                <w:szCs w:val="28"/>
              </w:rPr>
              <w:t>2030年</w:t>
            </w:r>
          </w:p>
        </w:tc>
      </w:tr>
      <w:tr w14:paraId="0A19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14:paraId="35C39B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r>
              <w:rPr>
                <w:rFonts w:hint="default" w:ascii="Times New Roman" w:hAnsi="Times New Roman" w:eastAsia="宋体" w:cs="Times New Roman"/>
                <w:b/>
                <w:bCs/>
                <w:snapToGrid w:val="0"/>
                <w:color w:val="auto"/>
                <w:kern w:val="0"/>
                <w:sz w:val="24"/>
              </w:rPr>
              <w:t>总体目标</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5A4B7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b/>
                <w:bCs/>
                <w:snapToGrid w:val="0"/>
                <w:color w:val="auto"/>
                <w:kern w:val="0"/>
                <w:sz w:val="24"/>
              </w:rPr>
              <w:t>核心指标</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1D3D6CC7">
            <w:pPr>
              <w:keepNext w:val="0"/>
              <w:keepLines w:val="0"/>
              <w:pageBreakBefore w:val="0"/>
              <w:widowControl w:val="0"/>
              <w:kinsoku/>
              <w:wordWrap/>
              <w:overflowPunct w:val="0"/>
              <w:topLinePunct w:val="0"/>
              <w:autoSpaceDE/>
              <w:autoSpaceDN/>
              <w:bidi w:val="0"/>
              <w:adjustRightInd/>
              <w:snapToGrid/>
              <w:spacing w:line="500" w:lineRule="exact"/>
              <w:jc w:val="left"/>
              <w:textAlignment w:val="auto"/>
              <w:rPr>
                <w:rFonts w:hint="default" w:ascii="Times New Roman" w:hAnsi="Times New Roman" w:eastAsia="宋体" w:cs="Times New Roman"/>
                <w:b/>
                <w:bCs/>
                <w:snapToGrid w:val="0"/>
                <w:color w:val="auto"/>
                <w:kern w:val="0"/>
                <w:sz w:val="24"/>
              </w:rPr>
            </w:pPr>
            <w:r>
              <w:rPr>
                <w:rFonts w:hint="default" w:ascii="Times New Roman" w:hAnsi="Times New Roman" w:eastAsia="宋体" w:cs="Times New Roman"/>
                <w:snapToGrid w:val="0"/>
                <w:color w:val="auto"/>
                <w:kern w:val="0"/>
                <w:sz w:val="24"/>
              </w:rPr>
              <w:t>结核病发病率</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0EDD0D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snapToGrid w:val="0"/>
                <w:color w:val="auto"/>
                <w:kern w:val="0"/>
                <w:sz w:val="24"/>
              </w:rPr>
            </w:pPr>
            <w:r>
              <w:rPr>
                <w:rFonts w:hint="default" w:ascii="Times New Roman" w:hAnsi="Times New Roman" w:eastAsia="宋体" w:cs="Times New Roman"/>
                <w:snapToGrid w:val="0"/>
                <w:color w:val="auto"/>
                <w:kern w:val="0"/>
                <w:sz w:val="24"/>
              </w:rPr>
              <w:t>＜</w:t>
            </w:r>
            <w:r>
              <w:rPr>
                <w:rFonts w:hint="default" w:ascii="Times New Roman" w:hAnsi="Times New Roman" w:eastAsia="宋体" w:cs="Times New Roman"/>
                <w:snapToGrid w:val="0"/>
                <w:color w:val="auto"/>
                <w:kern w:val="0"/>
                <w:sz w:val="24"/>
                <w:lang w:val="en-US" w:eastAsia="zh-CN"/>
              </w:rPr>
              <w:t>50</w:t>
            </w:r>
            <w:r>
              <w:rPr>
                <w:rFonts w:hint="default" w:ascii="Times New Roman" w:hAnsi="Times New Roman" w:eastAsia="宋体" w:cs="Times New Roman"/>
                <w:snapToGrid w:val="0"/>
                <w:color w:val="auto"/>
                <w:kern w:val="0"/>
                <w:sz w:val="24"/>
              </w:rPr>
              <w:t>/10万</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7BEE4D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val="0"/>
                <w:bCs w:val="0"/>
                <w:snapToGrid w:val="0"/>
                <w:color w:val="auto"/>
                <w:kern w:val="0"/>
                <w:sz w:val="24"/>
              </w:rPr>
            </w:pPr>
            <w:r>
              <w:rPr>
                <w:rFonts w:hint="default" w:ascii="Times New Roman" w:hAnsi="Times New Roman" w:eastAsia="宋体" w:cs="Times New Roman"/>
                <w:snapToGrid w:val="0"/>
                <w:color w:val="auto"/>
                <w:kern w:val="0"/>
                <w:sz w:val="24"/>
              </w:rPr>
              <w:t>＜</w:t>
            </w:r>
            <w:r>
              <w:rPr>
                <w:rFonts w:hint="default" w:ascii="Times New Roman" w:hAnsi="Times New Roman" w:eastAsia="宋体" w:cs="Times New Roman"/>
                <w:snapToGrid w:val="0"/>
                <w:color w:val="auto"/>
                <w:kern w:val="0"/>
                <w:sz w:val="24"/>
                <w:lang w:val="en-US" w:eastAsia="zh-CN"/>
              </w:rPr>
              <w:t>4</w:t>
            </w:r>
            <w:r>
              <w:rPr>
                <w:rFonts w:hint="default" w:ascii="Times New Roman" w:hAnsi="Times New Roman" w:cs="Times New Roman"/>
                <w:snapToGrid w:val="0"/>
                <w:color w:val="auto"/>
                <w:kern w:val="0"/>
                <w:sz w:val="24"/>
                <w:lang w:val="en-US" w:eastAsia="zh-CN"/>
              </w:rPr>
              <w:t>0</w:t>
            </w:r>
            <w:r>
              <w:rPr>
                <w:rFonts w:hint="default" w:ascii="Times New Roman" w:hAnsi="Times New Roman" w:eastAsia="宋体" w:cs="Times New Roman"/>
                <w:snapToGrid w:val="0"/>
                <w:color w:val="auto"/>
                <w:kern w:val="0"/>
                <w:sz w:val="24"/>
              </w:rPr>
              <w:t>/10万</w:t>
            </w:r>
          </w:p>
        </w:tc>
      </w:tr>
      <w:tr w14:paraId="7D09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550D44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r>
              <w:rPr>
                <w:rFonts w:hint="default" w:ascii="Times New Roman" w:hAnsi="Times New Roman" w:eastAsia="宋体" w:cs="Times New Roman"/>
                <w:b/>
                <w:bCs/>
                <w:snapToGrid w:val="0"/>
                <w:color w:val="auto"/>
                <w:kern w:val="0"/>
                <w:sz w:val="24"/>
              </w:rPr>
              <w:t>工作指标</w:t>
            </w:r>
          </w:p>
        </w:tc>
        <w:tc>
          <w:tcPr>
            <w:tcW w:w="1262" w:type="dxa"/>
            <w:vMerge w:val="restart"/>
            <w:tcBorders>
              <w:top w:val="single" w:color="auto" w:sz="4" w:space="0"/>
              <w:left w:val="single" w:color="auto" w:sz="4" w:space="0"/>
              <w:bottom w:val="single" w:color="auto" w:sz="4" w:space="0"/>
              <w:right w:val="single" w:color="auto" w:sz="4" w:space="0"/>
            </w:tcBorders>
            <w:noWrap w:val="0"/>
            <w:vAlign w:val="center"/>
          </w:tcPr>
          <w:p w14:paraId="6555CA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r>
              <w:rPr>
                <w:rFonts w:hint="default" w:ascii="Times New Roman" w:hAnsi="Times New Roman" w:eastAsia="宋体" w:cs="Times New Roman"/>
                <w:b/>
                <w:bCs/>
                <w:snapToGrid w:val="0"/>
                <w:color w:val="auto"/>
                <w:kern w:val="0"/>
                <w:sz w:val="24"/>
              </w:rPr>
              <w:t>患者</w:t>
            </w:r>
          </w:p>
          <w:p w14:paraId="5A71E4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r>
              <w:rPr>
                <w:rFonts w:hint="default" w:ascii="Times New Roman" w:hAnsi="Times New Roman" w:eastAsia="宋体" w:cs="Times New Roman"/>
                <w:b/>
                <w:bCs/>
                <w:snapToGrid w:val="0"/>
                <w:color w:val="auto"/>
                <w:kern w:val="0"/>
                <w:sz w:val="24"/>
              </w:rPr>
              <w:t>发现</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5EBE7F1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肺结核患者密切接触者结核病检查率</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347809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≥80%</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06BAD4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≥90%</w:t>
            </w:r>
          </w:p>
        </w:tc>
      </w:tr>
      <w:tr w14:paraId="7AF2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250958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14:paraId="1602D3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p>
        </w:tc>
        <w:tc>
          <w:tcPr>
            <w:tcW w:w="3862" w:type="dxa"/>
            <w:tcBorders>
              <w:top w:val="single" w:color="auto" w:sz="4" w:space="0"/>
              <w:left w:val="single" w:color="auto" w:sz="4" w:space="0"/>
              <w:bottom w:val="single" w:color="auto" w:sz="4" w:space="0"/>
              <w:right w:val="single" w:color="auto" w:sz="4" w:space="0"/>
            </w:tcBorders>
            <w:noWrap w:val="0"/>
            <w:vAlign w:val="center"/>
          </w:tcPr>
          <w:p w14:paraId="1CB76DF9">
            <w:pPr>
              <w:keepNext w:val="0"/>
              <w:keepLines w:val="0"/>
              <w:pageBreakBefore w:val="0"/>
              <w:widowControl w:val="0"/>
              <w:kinsoku/>
              <w:wordWrap/>
              <w:topLinePunct w:val="0"/>
              <w:autoSpaceDE/>
              <w:autoSpaceDN/>
              <w:bidi w:val="0"/>
              <w:adjustRightInd/>
              <w:snapToGrid/>
              <w:spacing w:line="500" w:lineRule="exact"/>
              <w:jc w:val="left"/>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肺结核患者</w:t>
            </w:r>
            <w:r>
              <w:rPr>
                <w:rFonts w:hint="default" w:ascii="Times New Roman" w:hAnsi="Times New Roman" w:eastAsia="宋体" w:cs="Times New Roman"/>
                <w:snapToGrid w:val="0"/>
                <w:color w:val="auto"/>
                <w:kern w:val="0"/>
                <w:sz w:val="24"/>
                <w:lang w:eastAsia="zh-CN"/>
              </w:rPr>
              <w:t>中的</w:t>
            </w:r>
            <w:r>
              <w:rPr>
                <w:rFonts w:hint="default" w:ascii="Times New Roman" w:hAnsi="Times New Roman" w:eastAsia="宋体" w:cs="Times New Roman"/>
                <w:snapToGrid w:val="0"/>
                <w:color w:val="auto"/>
                <w:kern w:val="0"/>
                <w:sz w:val="24"/>
              </w:rPr>
              <w:t>病原学阳性率</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760AAD20">
            <w:pPr>
              <w:keepNext w:val="0"/>
              <w:keepLines w:val="0"/>
              <w:pageBreakBefore w:val="0"/>
              <w:widowControl w:val="0"/>
              <w:kinsoku/>
              <w:wordWrap/>
              <w:topLinePunct w:val="0"/>
              <w:autoSpaceDE/>
              <w:autoSpaceDN/>
              <w:bidi w:val="0"/>
              <w:adjustRightInd/>
              <w:snapToGrid/>
              <w:spacing w:line="500" w:lineRule="exact"/>
              <w:jc w:val="center"/>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≥60%</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1CA68154">
            <w:pPr>
              <w:keepNext w:val="0"/>
              <w:keepLines w:val="0"/>
              <w:pageBreakBefore w:val="0"/>
              <w:widowControl w:val="0"/>
              <w:kinsoku/>
              <w:wordWrap/>
              <w:topLinePunct w:val="0"/>
              <w:autoSpaceDE/>
              <w:autoSpaceDN/>
              <w:bidi w:val="0"/>
              <w:adjustRightInd/>
              <w:snapToGrid/>
              <w:spacing w:line="500" w:lineRule="exact"/>
              <w:jc w:val="center"/>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≥70%</w:t>
            </w:r>
          </w:p>
        </w:tc>
      </w:tr>
      <w:tr w14:paraId="6D6F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2A1BC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14:paraId="4ABFA3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p>
        </w:tc>
        <w:tc>
          <w:tcPr>
            <w:tcW w:w="3862" w:type="dxa"/>
            <w:tcBorders>
              <w:top w:val="single" w:color="auto" w:sz="4" w:space="0"/>
              <w:left w:val="single" w:color="auto" w:sz="4" w:space="0"/>
              <w:bottom w:val="single" w:color="auto" w:sz="4" w:space="0"/>
              <w:right w:val="single" w:color="auto" w:sz="4" w:space="0"/>
            </w:tcBorders>
            <w:noWrap w:val="0"/>
            <w:vAlign w:val="center"/>
          </w:tcPr>
          <w:p w14:paraId="48A5A2D3">
            <w:pPr>
              <w:keepNext w:val="0"/>
              <w:keepLines w:val="0"/>
              <w:pageBreakBefore w:val="0"/>
              <w:widowControl w:val="0"/>
              <w:kinsoku/>
              <w:wordWrap/>
              <w:topLinePunct w:val="0"/>
              <w:autoSpaceDE/>
              <w:autoSpaceDN/>
              <w:bidi w:val="0"/>
              <w:adjustRightInd/>
              <w:snapToGrid/>
              <w:spacing w:line="500" w:lineRule="exact"/>
              <w:jc w:val="left"/>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病原学阳性肺结核患者耐药检测率</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7F1D1084">
            <w:pPr>
              <w:keepNext w:val="0"/>
              <w:keepLines w:val="0"/>
              <w:pageBreakBefore w:val="0"/>
              <w:widowControl w:val="0"/>
              <w:kinsoku/>
              <w:wordWrap/>
              <w:topLinePunct w:val="0"/>
              <w:autoSpaceDE/>
              <w:autoSpaceDN/>
              <w:bidi w:val="0"/>
              <w:adjustRightInd/>
              <w:snapToGrid/>
              <w:spacing w:line="500" w:lineRule="exact"/>
              <w:jc w:val="center"/>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≥90%</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4187BEE3">
            <w:pPr>
              <w:keepNext w:val="0"/>
              <w:keepLines w:val="0"/>
              <w:pageBreakBefore w:val="0"/>
              <w:widowControl w:val="0"/>
              <w:kinsoku/>
              <w:wordWrap/>
              <w:topLinePunct w:val="0"/>
              <w:autoSpaceDE/>
              <w:autoSpaceDN/>
              <w:bidi w:val="0"/>
              <w:adjustRightInd/>
              <w:snapToGrid/>
              <w:spacing w:line="500" w:lineRule="exact"/>
              <w:jc w:val="center"/>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≥95%</w:t>
            </w:r>
          </w:p>
        </w:tc>
      </w:tr>
      <w:tr w14:paraId="3534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2936A1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p>
        </w:tc>
        <w:tc>
          <w:tcPr>
            <w:tcW w:w="1262" w:type="dxa"/>
            <w:vMerge w:val="restart"/>
            <w:tcBorders>
              <w:top w:val="single" w:color="auto" w:sz="4" w:space="0"/>
              <w:left w:val="single" w:color="auto" w:sz="4" w:space="0"/>
              <w:bottom w:val="single" w:color="auto" w:sz="4" w:space="0"/>
              <w:right w:val="single" w:color="auto" w:sz="4" w:space="0"/>
            </w:tcBorders>
            <w:noWrap w:val="0"/>
            <w:vAlign w:val="center"/>
          </w:tcPr>
          <w:p w14:paraId="1AF844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r>
              <w:rPr>
                <w:rFonts w:hint="default" w:ascii="Times New Roman" w:hAnsi="Times New Roman" w:eastAsia="宋体" w:cs="Times New Roman"/>
                <w:b/>
                <w:bCs/>
                <w:snapToGrid w:val="0"/>
                <w:color w:val="auto"/>
                <w:kern w:val="0"/>
                <w:sz w:val="24"/>
              </w:rPr>
              <w:t>患者治疗管理</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248EDCCE">
            <w:pPr>
              <w:keepNext w:val="0"/>
              <w:keepLines w:val="0"/>
              <w:pageBreakBefore w:val="0"/>
              <w:widowControl w:val="0"/>
              <w:kinsoku/>
              <w:wordWrap/>
              <w:topLinePunct w:val="0"/>
              <w:autoSpaceDE/>
              <w:autoSpaceDN/>
              <w:bidi w:val="0"/>
              <w:adjustRightInd/>
              <w:snapToGrid/>
              <w:spacing w:line="500" w:lineRule="exact"/>
              <w:jc w:val="left"/>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肺结核患者标准化治疗方案使用率</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1A34DB26">
            <w:pPr>
              <w:keepNext w:val="0"/>
              <w:keepLines w:val="0"/>
              <w:pageBreakBefore w:val="0"/>
              <w:widowControl w:val="0"/>
              <w:kinsoku/>
              <w:wordWrap/>
              <w:topLinePunct w:val="0"/>
              <w:autoSpaceDE/>
              <w:autoSpaceDN/>
              <w:bidi w:val="0"/>
              <w:adjustRightInd/>
              <w:snapToGrid/>
              <w:spacing w:line="500" w:lineRule="exact"/>
              <w:jc w:val="center"/>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≥85%</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2301278C">
            <w:pPr>
              <w:keepNext w:val="0"/>
              <w:keepLines w:val="0"/>
              <w:pageBreakBefore w:val="0"/>
              <w:widowControl w:val="0"/>
              <w:kinsoku/>
              <w:wordWrap/>
              <w:topLinePunct w:val="0"/>
              <w:autoSpaceDE/>
              <w:autoSpaceDN/>
              <w:bidi w:val="0"/>
              <w:adjustRightInd/>
              <w:snapToGrid/>
              <w:spacing w:line="500" w:lineRule="exact"/>
              <w:jc w:val="center"/>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≥90%</w:t>
            </w:r>
          </w:p>
        </w:tc>
      </w:tr>
      <w:tr w14:paraId="3714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7D6E55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14:paraId="63414E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p>
        </w:tc>
        <w:tc>
          <w:tcPr>
            <w:tcW w:w="3862" w:type="dxa"/>
            <w:tcBorders>
              <w:top w:val="single" w:color="auto" w:sz="4" w:space="0"/>
              <w:left w:val="single" w:color="auto" w:sz="4" w:space="0"/>
              <w:bottom w:val="single" w:color="auto" w:sz="4" w:space="0"/>
              <w:right w:val="single" w:color="auto" w:sz="4" w:space="0"/>
            </w:tcBorders>
            <w:noWrap w:val="0"/>
            <w:vAlign w:val="center"/>
          </w:tcPr>
          <w:p w14:paraId="66D82AA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利福平敏感肺结核患者固定剂量复合制剂使用率</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0B49A7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≥65%</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38BC15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≥70%</w:t>
            </w:r>
          </w:p>
        </w:tc>
      </w:tr>
      <w:tr w14:paraId="3771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63945E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14:paraId="766DD5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p>
        </w:tc>
        <w:tc>
          <w:tcPr>
            <w:tcW w:w="3862" w:type="dxa"/>
            <w:tcBorders>
              <w:top w:val="single" w:color="auto" w:sz="4" w:space="0"/>
              <w:left w:val="single" w:color="auto" w:sz="4" w:space="0"/>
              <w:bottom w:val="single" w:color="auto" w:sz="4" w:space="0"/>
              <w:right w:val="single" w:color="auto" w:sz="4" w:space="0"/>
            </w:tcBorders>
            <w:noWrap w:val="0"/>
            <w:vAlign w:val="center"/>
          </w:tcPr>
          <w:p w14:paraId="6E10F37B">
            <w:pPr>
              <w:keepNext w:val="0"/>
              <w:keepLines w:val="0"/>
              <w:pageBreakBefore w:val="0"/>
              <w:widowControl w:val="0"/>
              <w:kinsoku/>
              <w:wordWrap/>
              <w:topLinePunct w:val="0"/>
              <w:autoSpaceDE/>
              <w:autoSpaceDN/>
              <w:bidi w:val="0"/>
              <w:adjustRightInd/>
              <w:snapToGrid/>
              <w:spacing w:line="500" w:lineRule="exact"/>
              <w:jc w:val="left"/>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肺结核患者规范管理率</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4380C349">
            <w:pPr>
              <w:keepNext w:val="0"/>
              <w:keepLines w:val="0"/>
              <w:pageBreakBefore w:val="0"/>
              <w:widowControl w:val="0"/>
              <w:kinsoku/>
              <w:wordWrap/>
              <w:topLinePunct w:val="0"/>
              <w:autoSpaceDE/>
              <w:autoSpaceDN/>
              <w:bidi w:val="0"/>
              <w:adjustRightInd/>
              <w:snapToGrid/>
              <w:spacing w:line="500" w:lineRule="exact"/>
              <w:jc w:val="center"/>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≥90%</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4FBDD74F">
            <w:pPr>
              <w:keepNext w:val="0"/>
              <w:keepLines w:val="0"/>
              <w:pageBreakBefore w:val="0"/>
              <w:widowControl w:val="0"/>
              <w:kinsoku/>
              <w:wordWrap/>
              <w:topLinePunct w:val="0"/>
              <w:autoSpaceDE/>
              <w:autoSpaceDN/>
              <w:bidi w:val="0"/>
              <w:adjustRightInd/>
              <w:snapToGrid/>
              <w:spacing w:line="500" w:lineRule="exact"/>
              <w:jc w:val="center"/>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≥90%</w:t>
            </w:r>
          </w:p>
        </w:tc>
      </w:tr>
      <w:tr w14:paraId="0FAA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23ADDD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p>
        </w:tc>
        <w:tc>
          <w:tcPr>
            <w:tcW w:w="1262" w:type="dxa"/>
            <w:vMerge w:val="continue"/>
            <w:tcBorders>
              <w:top w:val="single" w:color="auto" w:sz="4" w:space="0"/>
              <w:left w:val="single" w:color="auto" w:sz="4" w:space="0"/>
              <w:bottom w:val="single" w:color="auto" w:sz="4" w:space="0"/>
              <w:right w:val="single" w:color="auto" w:sz="4" w:space="0"/>
            </w:tcBorders>
            <w:noWrap w:val="0"/>
            <w:vAlign w:val="center"/>
          </w:tcPr>
          <w:p w14:paraId="1FBAFC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p>
        </w:tc>
        <w:tc>
          <w:tcPr>
            <w:tcW w:w="3862" w:type="dxa"/>
            <w:tcBorders>
              <w:top w:val="single" w:color="auto" w:sz="4" w:space="0"/>
              <w:left w:val="single" w:color="auto" w:sz="4" w:space="0"/>
              <w:bottom w:val="single" w:color="auto" w:sz="4" w:space="0"/>
              <w:right w:val="single" w:color="auto" w:sz="4" w:space="0"/>
            </w:tcBorders>
            <w:noWrap w:val="0"/>
            <w:vAlign w:val="center"/>
          </w:tcPr>
          <w:p w14:paraId="200D3ECE">
            <w:pPr>
              <w:keepNext w:val="0"/>
              <w:keepLines w:val="0"/>
              <w:pageBreakBefore w:val="0"/>
              <w:widowControl w:val="0"/>
              <w:kinsoku/>
              <w:wordWrap/>
              <w:topLinePunct w:val="0"/>
              <w:autoSpaceDE/>
              <w:autoSpaceDN/>
              <w:bidi w:val="0"/>
              <w:adjustRightInd/>
              <w:snapToGrid/>
              <w:spacing w:line="500" w:lineRule="exact"/>
              <w:jc w:val="left"/>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肺结核患者成功治疗率</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1F5F57A6">
            <w:pPr>
              <w:keepNext w:val="0"/>
              <w:keepLines w:val="0"/>
              <w:pageBreakBefore w:val="0"/>
              <w:widowControl w:val="0"/>
              <w:kinsoku/>
              <w:wordWrap/>
              <w:topLinePunct w:val="0"/>
              <w:autoSpaceDE/>
              <w:autoSpaceDN/>
              <w:bidi w:val="0"/>
              <w:adjustRightInd/>
              <w:snapToGrid/>
              <w:spacing w:line="500" w:lineRule="exact"/>
              <w:jc w:val="center"/>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≥90%</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501A985A">
            <w:pPr>
              <w:keepNext w:val="0"/>
              <w:keepLines w:val="0"/>
              <w:pageBreakBefore w:val="0"/>
              <w:widowControl w:val="0"/>
              <w:kinsoku/>
              <w:wordWrap/>
              <w:topLinePunct w:val="0"/>
              <w:autoSpaceDE/>
              <w:autoSpaceDN/>
              <w:bidi w:val="0"/>
              <w:adjustRightInd/>
              <w:snapToGrid/>
              <w:spacing w:line="500" w:lineRule="exact"/>
              <w:jc w:val="center"/>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≥90%</w:t>
            </w:r>
          </w:p>
        </w:tc>
      </w:tr>
      <w:tr w14:paraId="232E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45E7C2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0294F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r>
              <w:rPr>
                <w:rFonts w:hint="default" w:ascii="Times New Roman" w:hAnsi="Times New Roman" w:eastAsia="宋体" w:cs="Times New Roman"/>
                <w:b/>
                <w:bCs/>
                <w:snapToGrid w:val="0"/>
                <w:color w:val="auto"/>
                <w:kern w:val="0"/>
                <w:sz w:val="24"/>
              </w:rPr>
              <w:t>预防性</w:t>
            </w:r>
          </w:p>
          <w:p w14:paraId="644B6F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r>
              <w:rPr>
                <w:rFonts w:hint="default" w:ascii="Times New Roman" w:hAnsi="Times New Roman" w:eastAsia="宋体" w:cs="Times New Roman"/>
                <w:b/>
                <w:bCs/>
                <w:snapToGrid w:val="0"/>
                <w:color w:val="auto"/>
                <w:kern w:val="0"/>
                <w:sz w:val="24"/>
              </w:rPr>
              <w:t>干预</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791EF9D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肺结核患者密切接触者中潜伏感染者预防性治疗率</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2DA74D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≥60%</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64BB89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≥80%</w:t>
            </w:r>
          </w:p>
        </w:tc>
      </w:tr>
      <w:tr w14:paraId="1E04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09AE2F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177CFC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r>
              <w:rPr>
                <w:rFonts w:hint="default" w:ascii="Times New Roman" w:hAnsi="Times New Roman" w:eastAsia="宋体" w:cs="Times New Roman"/>
                <w:b/>
                <w:bCs/>
                <w:snapToGrid w:val="0"/>
                <w:color w:val="auto"/>
                <w:kern w:val="0"/>
                <w:sz w:val="24"/>
              </w:rPr>
              <w:t>健康</w:t>
            </w:r>
          </w:p>
          <w:p w14:paraId="07AD09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b/>
                <w:bCs/>
                <w:snapToGrid w:val="0"/>
                <w:color w:val="auto"/>
                <w:kern w:val="0"/>
                <w:sz w:val="24"/>
              </w:rPr>
            </w:pPr>
            <w:r>
              <w:rPr>
                <w:rFonts w:hint="default" w:ascii="Times New Roman" w:hAnsi="Times New Roman" w:eastAsia="宋体" w:cs="Times New Roman"/>
                <w:b/>
                <w:bCs/>
                <w:snapToGrid w:val="0"/>
                <w:color w:val="auto"/>
                <w:kern w:val="0"/>
                <w:sz w:val="24"/>
              </w:rPr>
              <w:t>素养</w:t>
            </w:r>
          </w:p>
        </w:tc>
        <w:tc>
          <w:tcPr>
            <w:tcW w:w="3862" w:type="dxa"/>
            <w:tcBorders>
              <w:top w:val="single" w:color="auto" w:sz="4" w:space="0"/>
              <w:left w:val="single" w:color="auto" w:sz="4" w:space="0"/>
              <w:bottom w:val="single" w:color="auto" w:sz="4" w:space="0"/>
              <w:right w:val="single" w:color="auto" w:sz="4" w:space="0"/>
            </w:tcBorders>
            <w:noWrap w:val="0"/>
            <w:vAlign w:val="center"/>
          </w:tcPr>
          <w:p w14:paraId="7719DA19">
            <w:pPr>
              <w:keepNext w:val="0"/>
              <w:keepLines w:val="0"/>
              <w:pageBreakBefore w:val="0"/>
              <w:widowControl w:val="0"/>
              <w:kinsoku/>
              <w:wordWrap/>
              <w:topLinePunct w:val="0"/>
              <w:autoSpaceDE/>
              <w:autoSpaceDN/>
              <w:bidi w:val="0"/>
              <w:adjustRightInd/>
              <w:snapToGrid/>
              <w:spacing w:line="500" w:lineRule="exact"/>
              <w:jc w:val="left"/>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公众结核病防治核心知识知晓率</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2DEB8206">
            <w:pPr>
              <w:keepNext w:val="0"/>
              <w:keepLines w:val="0"/>
              <w:pageBreakBefore w:val="0"/>
              <w:widowControl w:val="0"/>
              <w:kinsoku/>
              <w:wordWrap/>
              <w:topLinePunct w:val="0"/>
              <w:autoSpaceDE/>
              <w:autoSpaceDN/>
              <w:bidi w:val="0"/>
              <w:adjustRightInd/>
              <w:snapToGrid/>
              <w:spacing w:line="500" w:lineRule="exact"/>
              <w:jc w:val="center"/>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≥85%</w:t>
            </w:r>
          </w:p>
        </w:tc>
        <w:tc>
          <w:tcPr>
            <w:tcW w:w="1338" w:type="dxa"/>
            <w:tcBorders>
              <w:top w:val="single" w:color="auto" w:sz="4" w:space="0"/>
              <w:left w:val="single" w:color="auto" w:sz="4" w:space="0"/>
              <w:bottom w:val="single" w:color="auto" w:sz="4" w:space="0"/>
              <w:right w:val="single" w:color="auto" w:sz="4" w:space="0"/>
            </w:tcBorders>
            <w:noWrap w:val="0"/>
            <w:vAlign w:val="center"/>
          </w:tcPr>
          <w:p w14:paraId="7E7C073E">
            <w:pPr>
              <w:keepNext w:val="0"/>
              <w:keepLines w:val="0"/>
              <w:pageBreakBefore w:val="0"/>
              <w:widowControl w:val="0"/>
              <w:kinsoku/>
              <w:wordWrap/>
              <w:topLinePunct w:val="0"/>
              <w:autoSpaceDE/>
              <w:autoSpaceDN/>
              <w:bidi w:val="0"/>
              <w:adjustRightInd/>
              <w:snapToGrid/>
              <w:spacing w:line="500" w:lineRule="exact"/>
              <w:jc w:val="center"/>
              <w:textAlignment w:val="auto"/>
              <w:rPr>
                <w:rFonts w:hint="default" w:ascii="Times New Roman" w:hAnsi="Times New Roman" w:eastAsia="宋体" w:cs="Times New Roman"/>
                <w:snapToGrid w:val="0"/>
                <w:color w:val="auto"/>
                <w:kern w:val="0"/>
                <w:sz w:val="24"/>
              </w:rPr>
            </w:pPr>
            <w:r>
              <w:rPr>
                <w:rFonts w:hint="default" w:ascii="Times New Roman" w:hAnsi="Times New Roman" w:eastAsia="宋体" w:cs="Times New Roman"/>
                <w:snapToGrid w:val="0"/>
                <w:color w:val="auto"/>
                <w:kern w:val="0"/>
                <w:sz w:val="24"/>
              </w:rPr>
              <w:t>≥85%</w:t>
            </w:r>
          </w:p>
        </w:tc>
      </w:tr>
    </w:tbl>
    <w:p w14:paraId="2769CAA7">
      <w:pPr>
        <w:keepNext w:val="0"/>
        <w:keepLines w:val="0"/>
        <w:pageBreakBefore w:val="0"/>
        <w:widowControl w:val="0"/>
        <w:kinsoku/>
        <w:wordWrap/>
        <w:overflowPunct/>
        <w:topLinePunct w:val="0"/>
        <w:autoSpaceDE/>
        <w:autoSpaceDN/>
        <w:bidi w:val="0"/>
        <w:adjustRightInd w:val="0"/>
        <w:snapToGrid/>
        <w:spacing w:line="400" w:lineRule="exact"/>
        <w:ind w:firstLine="504" w:firstLineChars="200"/>
        <w:textAlignment w:val="baseline"/>
        <w:rPr>
          <w:rFonts w:hint="default" w:ascii="Times New Roman" w:hAnsi="Times New Roman" w:eastAsia="仿宋_GB2312" w:cs="Times New Roman"/>
          <w:color w:val="auto"/>
          <w:spacing w:val="6"/>
          <w:sz w:val="24"/>
          <w:szCs w:val="24"/>
          <w:highlight w:val="none"/>
          <w:shd w:val="clear" w:color="auto" w:fill="auto"/>
          <w:lang w:eastAsia="zh-CN"/>
        </w:rPr>
      </w:pPr>
      <w:r>
        <w:rPr>
          <w:rFonts w:hint="default" w:ascii="Times New Roman" w:hAnsi="Times New Roman" w:eastAsia="仿宋_GB2312" w:cs="Times New Roman"/>
          <w:color w:val="auto"/>
          <w:spacing w:val="6"/>
          <w:sz w:val="24"/>
          <w:szCs w:val="24"/>
          <w:highlight w:val="none"/>
          <w:shd w:val="clear" w:color="auto" w:fill="auto"/>
        </w:rPr>
        <w:t>*</w:t>
      </w:r>
      <w:r>
        <w:rPr>
          <w:rFonts w:hint="default" w:ascii="Times New Roman" w:hAnsi="Times New Roman" w:eastAsia="仿宋_GB2312" w:cs="Times New Roman"/>
          <w:color w:val="auto"/>
          <w:spacing w:val="6"/>
          <w:sz w:val="24"/>
          <w:szCs w:val="24"/>
          <w:highlight w:val="none"/>
          <w:shd w:val="clear" w:color="auto" w:fill="auto"/>
          <w:lang w:eastAsia="zh-CN"/>
        </w:rPr>
        <w:t>根据</w:t>
      </w:r>
      <w:r>
        <w:rPr>
          <w:rFonts w:hint="default" w:ascii="Times New Roman" w:hAnsi="Times New Roman" w:eastAsia="仿宋_GB2312" w:cs="Times New Roman"/>
          <w:color w:val="auto"/>
          <w:spacing w:val="6"/>
          <w:sz w:val="24"/>
          <w:szCs w:val="24"/>
          <w:highlight w:val="none"/>
          <w:shd w:val="clear" w:color="auto" w:fill="auto"/>
        </w:rPr>
        <w:t>2023</w:t>
      </w:r>
      <w:r>
        <w:rPr>
          <w:rFonts w:hint="eastAsia" w:ascii="Times New Roman" w:hAnsi="Times New Roman" w:eastAsia="仿宋_GB2312" w:cs="Times New Roman"/>
          <w:color w:val="auto"/>
          <w:spacing w:val="6"/>
          <w:sz w:val="24"/>
          <w:szCs w:val="24"/>
          <w:highlight w:val="none"/>
          <w:shd w:val="clear" w:color="auto" w:fill="auto"/>
          <w:lang w:eastAsia="zh-CN"/>
        </w:rPr>
        <w:t>—</w:t>
      </w:r>
      <w:r>
        <w:rPr>
          <w:rFonts w:hint="default" w:ascii="Times New Roman" w:hAnsi="Times New Roman" w:eastAsia="仿宋_GB2312" w:cs="Times New Roman"/>
          <w:color w:val="auto"/>
          <w:spacing w:val="6"/>
          <w:sz w:val="24"/>
          <w:szCs w:val="24"/>
          <w:highlight w:val="none"/>
          <w:shd w:val="clear" w:color="auto" w:fill="auto"/>
          <w:lang w:val="en-US" w:eastAsia="zh-CN"/>
        </w:rPr>
        <w:t>2024</w:t>
      </w:r>
      <w:r>
        <w:rPr>
          <w:rFonts w:hint="default" w:ascii="Times New Roman" w:hAnsi="Times New Roman" w:eastAsia="仿宋_GB2312" w:cs="Times New Roman"/>
          <w:color w:val="auto"/>
          <w:spacing w:val="6"/>
          <w:sz w:val="24"/>
          <w:szCs w:val="24"/>
          <w:highlight w:val="none"/>
          <w:shd w:val="clear" w:color="auto" w:fill="auto"/>
        </w:rPr>
        <w:t>年全省</w:t>
      </w:r>
      <w:r>
        <w:rPr>
          <w:rFonts w:hint="default" w:ascii="Times New Roman" w:hAnsi="Times New Roman" w:eastAsia="仿宋_GB2312" w:cs="Times New Roman"/>
          <w:color w:val="auto"/>
          <w:spacing w:val="6"/>
          <w:sz w:val="24"/>
          <w:szCs w:val="24"/>
          <w:highlight w:val="none"/>
          <w:shd w:val="clear" w:color="auto" w:fill="auto"/>
          <w:lang w:eastAsia="zh-CN"/>
        </w:rPr>
        <w:t>结核病疫情情况，将</w:t>
      </w:r>
      <w:r>
        <w:rPr>
          <w:rFonts w:hint="default" w:ascii="Times New Roman" w:hAnsi="Times New Roman" w:eastAsia="仿宋_GB2312" w:cs="Times New Roman"/>
          <w:color w:val="auto"/>
          <w:spacing w:val="6"/>
          <w:sz w:val="24"/>
          <w:szCs w:val="24"/>
          <w:highlight w:val="none"/>
          <w:shd w:val="clear" w:color="auto" w:fill="auto"/>
          <w:lang w:val="en-US" w:eastAsia="zh-CN"/>
        </w:rPr>
        <w:t>21</w:t>
      </w:r>
      <w:r>
        <w:rPr>
          <w:rFonts w:hint="default" w:ascii="Times New Roman" w:hAnsi="Times New Roman" w:eastAsia="仿宋_GB2312" w:cs="Times New Roman"/>
          <w:color w:val="auto"/>
          <w:spacing w:val="6"/>
          <w:sz w:val="24"/>
          <w:szCs w:val="24"/>
          <w:highlight w:val="none"/>
          <w:shd w:val="clear" w:color="auto" w:fill="auto"/>
          <w:lang w:eastAsia="zh-CN"/>
        </w:rPr>
        <w:t>个地市划分为高、中、低流行三类地市。划分如下：</w:t>
      </w:r>
    </w:p>
    <w:p w14:paraId="490989FB">
      <w:pPr>
        <w:keepNext w:val="0"/>
        <w:keepLines w:val="0"/>
        <w:pageBreakBefore w:val="0"/>
        <w:widowControl w:val="0"/>
        <w:kinsoku/>
        <w:wordWrap/>
        <w:overflowPunct/>
        <w:topLinePunct w:val="0"/>
        <w:autoSpaceDE/>
        <w:autoSpaceDN/>
        <w:bidi w:val="0"/>
        <w:adjustRightInd w:val="0"/>
        <w:snapToGrid/>
        <w:spacing w:line="400" w:lineRule="exact"/>
        <w:ind w:left="1903" w:leftChars="228" w:hanging="1424" w:hangingChars="563"/>
        <w:textAlignment w:val="baseline"/>
        <w:rPr>
          <w:rFonts w:hint="default" w:ascii="Times New Roman" w:hAnsi="Times New Roman" w:eastAsia="仿宋_GB2312" w:cs="Times New Roman"/>
          <w:color w:val="auto"/>
          <w:spacing w:val="6"/>
          <w:sz w:val="24"/>
          <w:szCs w:val="24"/>
          <w:highlight w:val="none"/>
          <w:shd w:val="clear" w:color="auto" w:fill="auto"/>
          <w:lang w:eastAsia="zh-CN"/>
        </w:rPr>
      </w:pPr>
      <w:r>
        <w:rPr>
          <w:rFonts w:hint="default" w:ascii="Times New Roman" w:hAnsi="Times New Roman" w:eastAsia="仿宋_GB2312" w:cs="Times New Roman"/>
          <w:b/>
          <w:bCs/>
          <w:color w:val="auto"/>
          <w:spacing w:val="6"/>
          <w:sz w:val="24"/>
          <w:szCs w:val="24"/>
          <w:highlight w:val="none"/>
          <w:shd w:val="clear" w:color="auto" w:fill="auto"/>
        </w:rPr>
        <w:t>高</w:t>
      </w:r>
      <w:r>
        <w:rPr>
          <w:rFonts w:hint="default" w:ascii="Times New Roman" w:hAnsi="Times New Roman" w:eastAsia="仿宋_GB2312" w:cs="Times New Roman"/>
          <w:b/>
          <w:bCs/>
          <w:color w:val="auto"/>
          <w:spacing w:val="6"/>
          <w:sz w:val="24"/>
          <w:szCs w:val="24"/>
          <w:highlight w:val="none"/>
          <w:shd w:val="clear" w:color="auto" w:fill="auto"/>
          <w:lang w:eastAsia="zh-CN"/>
        </w:rPr>
        <w:t>流行</w:t>
      </w:r>
      <w:r>
        <w:rPr>
          <w:rFonts w:hint="default" w:ascii="Times New Roman" w:hAnsi="Times New Roman" w:eastAsia="仿宋_GB2312" w:cs="Times New Roman"/>
          <w:b/>
          <w:bCs/>
          <w:color w:val="auto"/>
          <w:spacing w:val="6"/>
          <w:sz w:val="24"/>
          <w:szCs w:val="24"/>
          <w:highlight w:val="none"/>
          <w:shd w:val="clear" w:color="auto" w:fill="auto"/>
        </w:rPr>
        <w:t>地市</w:t>
      </w:r>
      <w:r>
        <w:rPr>
          <w:rFonts w:hint="default" w:ascii="Times New Roman" w:hAnsi="Times New Roman" w:eastAsia="仿宋_GB2312" w:cs="Times New Roman"/>
          <w:b/>
          <w:bCs/>
          <w:color w:val="auto"/>
          <w:spacing w:val="6"/>
          <w:sz w:val="24"/>
          <w:szCs w:val="24"/>
          <w:highlight w:val="none"/>
          <w:shd w:val="clear" w:color="auto" w:fill="auto"/>
          <w:lang w:eastAsia="zh-CN"/>
        </w:rPr>
        <w:t>：</w:t>
      </w:r>
      <w:r>
        <w:rPr>
          <w:rFonts w:hint="default" w:ascii="Times New Roman" w:hAnsi="Times New Roman" w:eastAsia="仿宋_GB2312" w:cs="Times New Roman"/>
          <w:color w:val="auto"/>
          <w:spacing w:val="6"/>
          <w:sz w:val="24"/>
          <w:szCs w:val="24"/>
          <w:highlight w:val="none"/>
          <w:shd w:val="clear" w:color="auto" w:fill="auto"/>
        </w:rPr>
        <w:t>汕尾市、江门市</w:t>
      </w:r>
      <w:r>
        <w:rPr>
          <w:rFonts w:hint="default" w:ascii="Times New Roman" w:hAnsi="Times New Roman" w:eastAsia="仿宋_GB2312" w:cs="Times New Roman"/>
          <w:color w:val="auto"/>
          <w:spacing w:val="6"/>
          <w:sz w:val="24"/>
          <w:szCs w:val="24"/>
          <w:highlight w:val="none"/>
          <w:shd w:val="clear" w:color="auto" w:fill="auto"/>
          <w:lang w:eastAsia="zh-CN"/>
        </w:rPr>
        <w:t>、</w:t>
      </w:r>
      <w:r>
        <w:rPr>
          <w:rFonts w:hint="default" w:ascii="Times New Roman" w:hAnsi="Times New Roman" w:eastAsia="仿宋_GB2312" w:cs="Times New Roman"/>
          <w:color w:val="auto"/>
          <w:spacing w:val="6"/>
          <w:sz w:val="24"/>
          <w:szCs w:val="24"/>
          <w:highlight w:val="none"/>
          <w:shd w:val="clear" w:color="auto" w:fill="auto"/>
        </w:rPr>
        <w:t>揭阳市、汕头市、清远市、河源市</w:t>
      </w:r>
      <w:r>
        <w:rPr>
          <w:rFonts w:hint="default" w:ascii="Times New Roman" w:hAnsi="Times New Roman" w:eastAsia="仿宋_GB2312" w:cs="Times New Roman"/>
          <w:color w:val="auto"/>
          <w:spacing w:val="6"/>
          <w:sz w:val="24"/>
          <w:szCs w:val="24"/>
          <w:highlight w:val="none"/>
          <w:shd w:val="clear" w:color="auto" w:fill="auto"/>
          <w:lang w:eastAsia="zh-CN"/>
        </w:rPr>
        <w:t>；</w:t>
      </w:r>
    </w:p>
    <w:p w14:paraId="44901718">
      <w:pPr>
        <w:keepNext w:val="0"/>
        <w:keepLines w:val="0"/>
        <w:pageBreakBefore w:val="0"/>
        <w:widowControl w:val="0"/>
        <w:kinsoku/>
        <w:wordWrap/>
        <w:overflowPunct/>
        <w:topLinePunct w:val="0"/>
        <w:autoSpaceDE/>
        <w:autoSpaceDN/>
        <w:bidi w:val="0"/>
        <w:adjustRightInd w:val="0"/>
        <w:snapToGrid/>
        <w:spacing w:line="400" w:lineRule="exact"/>
        <w:ind w:left="1908" w:leftChars="228" w:hanging="1429" w:hangingChars="565"/>
        <w:textAlignment w:val="baseline"/>
        <w:rPr>
          <w:rFonts w:hint="default" w:ascii="Times New Roman" w:hAnsi="Times New Roman" w:eastAsia="仿宋_GB2312" w:cs="Times New Roman"/>
          <w:color w:val="auto"/>
          <w:spacing w:val="6"/>
          <w:sz w:val="24"/>
          <w:szCs w:val="24"/>
          <w:highlight w:val="none"/>
          <w:shd w:val="clear" w:color="auto" w:fill="auto"/>
          <w:lang w:eastAsia="zh-CN"/>
        </w:rPr>
      </w:pPr>
      <w:r>
        <w:rPr>
          <w:rFonts w:hint="default" w:ascii="Times New Roman" w:hAnsi="Times New Roman" w:eastAsia="仿宋_GB2312" w:cs="Times New Roman"/>
          <w:b/>
          <w:bCs/>
          <w:color w:val="auto"/>
          <w:spacing w:val="6"/>
          <w:sz w:val="24"/>
          <w:szCs w:val="24"/>
          <w:highlight w:val="none"/>
          <w:shd w:val="clear" w:color="auto" w:fill="auto"/>
        </w:rPr>
        <w:t>中流行地市</w:t>
      </w:r>
      <w:r>
        <w:rPr>
          <w:rFonts w:hint="default" w:ascii="Times New Roman" w:hAnsi="Times New Roman" w:eastAsia="仿宋_GB2312" w:cs="Times New Roman"/>
          <w:b/>
          <w:bCs/>
          <w:color w:val="auto"/>
          <w:spacing w:val="6"/>
          <w:sz w:val="24"/>
          <w:szCs w:val="24"/>
          <w:highlight w:val="none"/>
          <w:shd w:val="clear" w:color="auto" w:fill="auto"/>
          <w:lang w:eastAsia="zh-CN"/>
        </w:rPr>
        <w:t>：</w:t>
      </w:r>
      <w:r>
        <w:rPr>
          <w:rFonts w:hint="default" w:ascii="Times New Roman" w:hAnsi="Times New Roman" w:eastAsia="仿宋_GB2312" w:cs="Times New Roman"/>
          <w:color w:val="auto"/>
          <w:spacing w:val="6"/>
          <w:sz w:val="24"/>
          <w:szCs w:val="24"/>
          <w:highlight w:val="none"/>
          <w:shd w:val="clear" w:color="auto" w:fill="auto"/>
          <w:lang w:eastAsia="zh-CN"/>
        </w:rPr>
        <w:t>韶关市、</w:t>
      </w:r>
      <w:r>
        <w:rPr>
          <w:rFonts w:hint="default" w:ascii="Times New Roman" w:hAnsi="Times New Roman" w:eastAsia="仿宋_GB2312" w:cs="Times New Roman"/>
          <w:color w:val="auto"/>
          <w:spacing w:val="6"/>
          <w:sz w:val="24"/>
          <w:szCs w:val="24"/>
          <w:highlight w:val="none"/>
          <w:shd w:val="clear" w:color="auto" w:fill="auto"/>
        </w:rPr>
        <w:t>湛江市</w:t>
      </w:r>
      <w:r>
        <w:rPr>
          <w:rFonts w:hint="default" w:ascii="Times New Roman" w:hAnsi="Times New Roman" w:eastAsia="仿宋_GB2312" w:cs="Times New Roman"/>
          <w:color w:val="auto"/>
          <w:spacing w:val="6"/>
          <w:sz w:val="24"/>
          <w:szCs w:val="24"/>
          <w:highlight w:val="none"/>
          <w:shd w:val="clear" w:color="auto" w:fill="auto"/>
          <w:lang w:eastAsia="zh-CN"/>
        </w:rPr>
        <w:t>、肇庆市、惠州市、茂名市、珠海市、阳江</w:t>
      </w:r>
    </w:p>
    <w:p w14:paraId="5F9CCE84">
      <w:pPr>
        <w:keepNext w:val="0"/>
        <w:keepLines w:val="0"/>
        <w:pageBreakBefore w:val="0"/>
        <w:widowControl w:val="0"/>
        <w:kinsoku/>
        <w:wordWrap/>
        <w:overflowPunct/>
        <w:topLinePunct w:val="0"/>
        <w:autoSpaceDE/>
        <w:autoSpaceDN/>
        <w:bidi w:val="0"/>
        <w:adjustRightInd w:val="0"/>
        <w:snapToGrid/>
        <w:spacing w:line="400" w:lineRule="exact"/>
        <w:ind w:left="1420" w:leftChars="676" w:firstLine="90" w:firstLineChars="36"/>
        <w:textAlignment w:val="baseline"/>
        <w:rPr>
          <w:rFonts w:hint="default" w:ascii="Times New Roman" w:hAnsi="Times New Roman" w:eastAsia="仿宋_GB2312" w:cs="Times New Roman"/>
          <w:color w:val="auto"/>
          <w:spacing w:val="6"/>
          <w:sz w:val="24"/>
          <w:szCs w:val="24"/>
          <w:highlight w:val="none"/>
          <w:shd w:val="clear" w:color="auto" w:fill="auto"/>
          <w:lang w:eastAsia="zh-CN"/>
        </w:rPr>
      </w:pPr>
      <w:r>
        <w:rPr>
          <w:rFonts w:hint="default" w:ascii="Times New Roman" w:hAnsi="Times New Roman" w:eastAsia="仿宋_GB2312" w:cs="Times New Roman"/>
          <w:color w:val="auto"/>
          <w:spacing w:val="6"/>
          <w:sz w:val="24"/>
          <w:szCs w:val="24"/>
          <w:highlight w:val="none"/>
          <w:shd w:val="clear" w:color="auto" w:fill="auto"/>
          <w:lang w:eastAsia="zh-CN"/>
        </w:rPr>
        <w:t>市、梅州市、潮州市、云浮市、中山市、广州市、东莞市、</w:t>
      </w:r>
    </w:p>
    <w:p w14:paraId="658094A3">
      <w:pPr>
        <w:keepNext w:val="0"/>
        <w:keepLines w:val="0"/>
        <w:pageBreakBefore w:val="0"/>
        <w:widowControl w:val="0"/>
        <w:kinsoku/>
        <w:wordWrap/>
        <w:overflowPunct/>
        <w:topLinePunct w:val="0"/>
        <w:autoSpaceDE/>
        <w:autoSpaceDN/>
        <w:bidi w:val="0"/>
        <w:adjustRightInd w:val="0"/>
        <w:snapToGrid/>
        <w:spacing w:line="400" w:lineRule="exact"/>
        <w:ind w:left="1420" w:leftChars="676" w:firstLine="90" w:firstLineChars="36"/>
        <w:textAlignment w:val="baseline"/>
        <w:rPr>
          <w:rFonts w:hint="default" w:ascii="Times New Roman" w:hAnsi="Times New Roman" w:eastAsia="仿宋_GB2312" w:cs="Times New Roman"/>
          <w:color w:val="auto"/>
          <w:spacing w:val="6"/>
          <w:sz w:val="24"/>
          <w:szCs w:val="24"/>
          <w:highlight w:val="none"/>
          <w:shd w:val="clear" w:color="auto" w:fill="auto"/>
          <w:lang w:eastAsia="zh-CN"/>
        </w:rPr>
      </w:pPr>
      <w:r>
        <w:rPr>
          <w:rFonts w:hint="default" w:ascii="Times New Roman" w:hAnsi="Times New Roman" w:eastAsia="仿宋_GB2312" w:cs="Times New Roman"/>
          <w:color w:val="auto"/>
          <w:spacing w:val="6"/>
          <w:sz w:val="24"/>
          <w:szCs w:val="24"/>
          <w:highlight w:val="none"/>
          <w:shd w:val="clear" w:color="auto" w:fill="auto"/>
          <w:lang w:eastAsia="zh-CN"/>
        </w:rPr>
        <w:t>佛山市；</w:t>
      </w:r>
    </w:p>
    <w:p w14:paraId="7B5CB664">
      <w:pPr>
        <w:keepNext w:val="0"/>
        <w:keepLines w:val="0"/>
        <w:pageBreakBefore w:val="0"/>
        <w:widowControl w:val="0"/>
        <w:kinsoku/>
        <w:wordWrap/>
        <w:overflowPunct/>
        <w:topLinePunct w:val="0"/>
        <w:autoSpaceDE/>
        <w:autoSpaceDN/>
        <w:bidi w:val="0"/>
        <w:adjustRightInd w:val="0"/>
        <w:snapToGrid/>
        <w:spacing w:line="400" w:lineRule="exact"/>
        <w:ind w:left="479" w:leftChars="228" w:firstLine="0" w:firstLineChars="0"/>
        <w:textAlignment w:val="baseline"/>
        <w:rPr>
          <w:rFonts w:hint="default" w:ascii="Times New Roman" w:hAnsi="Times New Roman" w:eastAsia="黑体" w:cs="Times New Roman"/>
          <w:color w:val="auto"/>
          <w:sz w:val="32"/>
          <w:lang w:val="en-US" w:eastAsia="zh-CN"/>
        </w:rPr>
        <w:sectPr>
          <w:footerReference r:id="rId3" w:type="default"/>
          <w:pgSz w:w="11906" w:h="16838"/>
          <w:pgMar w:top="2041" w:right="1531" w:bottom="2041" w:left="1531" w:header="851" w:footer="1332" w:gutter="0"/>
          <w:pgNumType w:fmt="numberInDash"/>
          <w:cols w:space="720" w:num="1"/>
          <w:rtlGutter w:val="0"/>
          <w:docGrid w:type="lines" w:linePitch="312" w:charSpace="0"/>
        </w:sectPr>
      </w:pPr>
      <w:r>
        <w:rPr>
          <w:rFonts w:hint="default" w:ascii="Times New Roman" w:hAnsi="Times New Roman" w:eastAsia="仿宋_GB2312" w:cs="Times New Roman"/>
          <w:b/>
          <w:bCs/>
          <w:color w:val="auto"/>
          <w:spacing w:val="6"/>
          <w:sz w:val="24"/>
          <w:szCs w:val="24"/>
          <w:highlight w:val="none"/>
          <w:shd w:val="clear" w:color="auto" w:fill="auto"/>
        </w:rPr>
        <w:t>低流行地市</w:t>
      </w:r>
      <w:r>
        <w:rPr>
          <w:rFonts w:hint="default" w:ascii="Times New Roman" w:hAnsi="Times New Roman" w:eastAsia="仿宋_GB2312" w:cs="Times New Roman"/>
          <w:b/>
          <w:bCs/>
          <w:color w:val="auto"/>
          <w:spacing w:val="6"/>
          <w:sz w:val="24"/>
          <w:szCs w:val="24"/>
          <w:highlight w:val="none"/>
          <w:shd w:val="clear" w:color="auto" w:fill="auto"/>
          <w:lang w:eastAsia="zh-CN"/>
        </w:rPr>
        <w:t>：</w:t>
      </w:r>
      <w:r>
        <w:rPr>
          <w:rFonts w:hint="default" w:ascii="Times New Roman" w:hAnsi="Times New Roman" w:eastAsia="仿宋_GB2312" w:cs="Times New Roman"/>
          <w:color w:val="auto"/>
          <w:spacing w:val="6"/>
          <w:sz w:val="24"/>
          <w:szCs w:val="24"/>
          <w:highlight w:val="none"/>
          <w:shd w:val="clear" w:color="auto" w:fill="auto"/>
        </w:rPr>
        <w:t>深圳市。</w:t>
      </w:r>
    </w:p>
    <w:p w14:paraId="1E02C4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5D07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043528">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F043528">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363D1"/>
    <w:rsid w:val="31136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napToGrid w:val="0"/>
      <w:kern w:val="0"/>
      <w:sz w:val="32"/>
      <w:szCs w:val="24"/>
      <w:lang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snapToGrid w:val="0"/>
      <w:kern w:val="2"/>
      <w:sz w:val="52"/>
      <w:szCs w:val="52"/>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napToGrid w:val="0"/>
      <w:kern w:val="0"/>
      <w:sz w:val="24"/>
      <w:szCs w:val="24"/>
      <w:lang w:bidi="ar-SA"/>
    </w:rPr>
  </w:style>
  <w:style w:type="paragraph" w:customStyle="1" w:styleId="8">
    <w:name w:val="Body text|3"/>
    <w:qFormat/>
    <w:uiPriority w:val="0"/>
    <w:pPr>
      <w:widowControl w:val="0"/>
      <w:spacing w:after="120" w:line="329" w:lineRule="auto"/>
      <w:ind w:firstLine="180"/>
      <w:jc w:val="center"/>
    </w:pPr>
    <w:rPr>
      <w:rFonts w:ascii="MingLiU" w:hAnsi="MingLiU" w:eastAsia="MingLiU" w:cs="MingLiU"/>
      <w:kern w:val="2"/>
      <w:sz w:val="21"/>
      <w:szCs w:val="24"/>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2025-12-12T02:07:00Z</dcterms:created>
  <dc:creator>陈卡卡</dc:creator>
  <cp:lastModifiedBy>陈卡卡</cp:lastModifiedBy>
  <dcterms:modified xsi:type="dcterms:W3CDTF">2025-12-12T02:08:27Z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A5C1504DE69B4FC18162596886C9CE3A_11</vt:lpwstr>
  </property>
  <property fmtid="{D5CDD505-2E9C-101B-9397-08002B2CF9AE}" pid="4" name="KSOTemplateDocerSaveRecord">
    <vt:lpwstr>eyJoZGlkIjoiNmJlODAxNThlZDEzNGJhYzQzNDUzM2Y1YzFiZGY2ZWYiLCJ1c2VySWQiOiI3ODYxMDA1NDQifQ==</vt:lpwstr>
  </property>
</Properties>
</file>