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32"/>
          <w:lang w:eastAsia="zh-CN"/>
        </w:rPr>
      </w:pPr>
      <w:bookmarkStart w:id="0" w:name="_GoBack"/>
      <w:r>
        <w:rPr>
          <w:rFonts w:hint="default" w:ascii="Times New Roman" w:hAnsi="Times New Roman" w:eastAsia="方正小标宋简体" w:cs="Times New Roman"/>
          <w:snapToGrid w:val="0"/>
          <w:kern w:val="0"/>
          <w:sz w:val="44"/>
          <w:szCs w:val="32"/>
        </w:rPr>
        <w:t>拟废止规范性</w:t>
      </w:r>
      <w:r>
        <w:rPr>
          <w:rFonts w:hint="default" w:ascii="Times New Roman" w:hAnsi="Times New Roman" w:eastAsia="方正小标宋简体" w:cs="Times New Roman"/>
          <w:snapToGrid w:val="0"/>
          <w:kern w:val="0"/>
          <w:sz w:val="44"/>
          <w:szCs w:val="32"/>
          <w:lang w:eastAsia="zh-CN"/>
        </w:rPr>
        <w:t>文件情况说明表</w:t>
      </w:r>
    </w:p>
    <w:bookmarkEnd w:id="0"/>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eastAsia="zh-CN"/>
        </w:rPr>
      </w:pPr>
    </w:p>
    <w:tbl>
      <w:tblPr>
        <w:tblStyle w:val="6"/>
        <w:tblW w:w="88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1"/>
        <w:gridCol w:w="1104"/>
        <w:gridCol w:w="1254"/>
        <w:gridCol w:w="1904"/>
        <w:gridCol w:w="3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Header/>
          <w:jc w:val="center"/>
        </w:trPr>
        <w:tc>
          <w:tcPr>
            <w:tcW w:w="6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文件名称</w:t>
            </w:r>
          </w:p>
        </w:tc>
        <w:tc>
          <w:tcPr>
            <w:tcW w:w="12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文号</w:t>
            </w:r>
          </w:p>
        </w:tc>
        <w:tc>
          <w:tcPr>
            <w:tcW w:w="19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发布机关</w:t>
            </w:r>
          </w:p>
        </w:tc>
        <w:tc>
          <w:tcPr>
            <w:tcW w:w="39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b/>
              </w:rPr>
            </w:pPr>
            <w:r>
              <w:rPr>
                <w:rFonts w:hint="eastAsia" w:ascii="黑体" w:hAnsi="黑体" w:eastAsia="黑体" w:cs="黑体"/>
                <w:b w:val="0"/>
                <w:bCs/>
                <w:i w:val="0"/>
                <w:color w:val="000000"/>
                <w:kern w:val="0"/>
                <w:sz w:val="24"/>
                <w:szCs w:val="24"/>
                <w:u w:val="none"/>
                <w:lang w:val="en-US" w:eastAsia="zh-CN" w:bidi="ar"/>
              </w:rPr>
              <w:t>废止理由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广东省社会抚养费征收管理办法</w:t>
            </w:r>
          </w:p>
        </w:tc>
        <w:tc>
          <w:tcPr>
            <w:tcW w:w="12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粤计生委[2002]77号</w:t>
            </w:r>
          </w:p>
        </w:tc>
        <w:tc>
          <w:tcPr>
            <w:tcW w:w="19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原</w:t>
            </w:r>
            <w:r>
              <w:rPr>
                <w:rFonts w:hint="default" w:ascii="Times New Roman" w:hAnsi="Times New Roman" w:eastAsia="宋体" w:cs="Times New Roman"/>
                <w:i w:val="0"/>
                <w:color w:val="000000"/>
                <w:kern w:val="0"/>
                <w:sz w:val="24"/>
                <w:szCs w:val="24"/>
                <w:u w:val="none"/>
                <w:lang w:val="en-US" w:eastAsia="zh-CN" w:bidi="ar"/>
              </w:rPr>
              <w:t>省人口计生委</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b w:val="0"/>
                <w:bCs w:val="0"/>
                <w:i w:val="0"/>
                <w:caps w:val="0"/>
                <w:color w:val="000000"/>
                <w:spacing w:val="0"/>
                <w:kern w:val="0"/>
                <w:sz w:val="24"/>
                <w:szCs w:val="24"/>
                <w:u w:val="none"/>
                <w:shd w:val="clear" w:color="auto" w:fill="auto"/>
                <w:lang w:bidi="ar"/>
              </w:rPr>
              <w:t>省财政厅、</w:t>
            </w:r>
            <w:r>
              <w:rPr>
                <w:rFonts w:hint="default" w:ascii="Times New Roman" w:hAnsi="Times New Roman" w:eastAsia="宋体" w:cs="Times New Roman"/>
                <w:b w:val="0"/>
                <w:bCs w:val="0"/>
                <w:i w:val="0"/>
                <w:caps w:val="0"/>
                <w:color w:val="000000"/>
                <w:spacing w:val="0"/>
                <w:kern w:val="0"/>
                <w:sz w:val="24"/>
                <w:szCs w:val="24"/>
                <w:u w:val="none"/>
                <w:shd w:val="clear" w:color="auto" w:fill="auto"/>
                <w:lang w:eastAsia="zh-CN" w:bidi="ar"/>
              </w:rPr>
              <w:t>原</w:t>
            </w:r>
            <w:r>
              <w:rPr>
                <w:rFonts w:hint="default" w:ascii="Times New Roman" w:hAnsi="Times New Roman" w:eastAsia="宋体" w:cs="Times New Roman"/>
                <w:b w:val="0"/>
                <w:bCs w:val="0"/>
                <w:i w:val="0"/>
                <w:caps w:val="0"/>
                <w:color w:val="000000"/>
                <w:spacing w:val="0"/>
                <w:kern w:val="0"/>
                <w:sz w:val="24"/>
                <w:szCs w:val="24"/>
                <w:u w:val="none"/>
                <w:shd w:val="clear" w:color="auto" w:fill="auto"/>
                <w:lang w:bidi="ar"/>
              </w:rPr>
              <w:t>省物价局</w:t>
            </w:r>
          </w:p>
        </w:tc>
        <w:tc>
          <w:tcPr>
            <w:tcW w:w="39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1.中央《关于优化生育政策促进人口长期均衡发展的决定》明确提出取消社会抚养费；《中华人民共和国人口与计划生育法(2021年修正)》已删除征收社会抚养费相关内容。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2.该文件的制定依据《社会抚养费征收管理办法》已被《国务院关于废止部分行政法规的决定》（国务院令第747号）废止。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广东省母婴保健技术服务项目审批管理办法</w:t>
            </w:r>
          </w:p>
        </w:tc>
        <w:tc>
          <w:tcPr>
            <w:tcW w:w="12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粤卫〔2003〕46号</w:t>
            </w:r>
          </w:p>
        </w:tc>
        <w:tc>
          <w:tcPr>
            <w:tcW w:w="19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原省卫生厅</w:t>
            </w:r>
          </w:p>
        </w:tc>
        <w:tc>
          <w:tcPr>
            <w:tcW w:w="39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2017年国家修订《母婴保健法》及其实施办法，已取消家庭接生员技术合格证书核发。2021-2022年，国家卫生健康委出台母婴保健技术方面的系列文件，对母婴保健技术服务项目审批权限进行</w:t>
            </w:r>
            <w:r>
              <w:rPr>
                <w:rFonts w:hint="eastAsia" w:ascii="Times New Roman" w:hAnsi="Times New Roman" w:eastAsia="宋体" w:cs="Times New Roman"/>
                <w:i w:val="0"/>
                <w:color w:val="000000"/>
                <w:kern w:val="0"/>
                <w:sz w:val="24"/>
                <w:szCs w:val="24"/>
                <w:u w:val="none"/>
                <w:lang w:val="en-US" w:eastAsia="zh-CN" w:bidi="ar"/>
              </w:rPr>
              <w:t>调整</w:t>
            </w:r>
            <w:r>
              <w:rPr>
                <w:rFonts w:hint="default" w:ascii="Times New Roman" w:hAnsi="Times New Roman" w:eastAsia="宋体" w:cs="Times New Roman"/>
                <w:i w:val="0"/>
                <w:color w:val="000000"/>
                <w:kern w:val="0"/>
                <w:sz w:val="24"/>
                <w:szCs w:val="24"/>
                <w:u w:val="none"/>
                <w:lang w:val="en-US" w:eastAsia="zh-CN" w:bidi="ar"/>
              </w:rPr>
              <w:t>，婚前医学检查机构执业许可证及人员考核合格证许可权限由市级更改为县级，此文件规定与国家文件要求不一致，也与实际工作情况不符。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广东省病残儿医学鉴定管理办法实施细则</w:t>
            </w:r>
          </w:p>
        </w:tc>
        <w:tc>
          <w:tcPr>
            <w:tcW w:w="12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粤人口计生委〔2005〕37号</w:t>
            </w:r>
          </w:p>
        </w:tc>
        <w:tc>
          <w:tcPr>
            <w:tcW w:w="19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原省人口计生委</w:t>
            </w:r>
          </w:p>
        </w:tc>
        <w:tc>
          <w:tcPr>
            <w:tcW w:w="39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该文件的制定依据《计划生育技术服务管理条例》已被《国务院关于废止部分行政法规的决定》（国务院令第747号）废止。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广东省卫生厅关于规范病媒生物预防控制有偿服务机构备案工作的通知</w:t>
            </w:r>
          </w:p>
        </w:tc>
        <w:tc>
          <w:tcPr>
            <w:tcW w:w="12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粤卫〔2012〕133号</w:t>
            </w:r>
          </w:p>
        </w:tc>
        <w:tc>
          <w:tcPr>
            <w:tcW w:w="19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eastAsia="仿宋"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原省卫生厅</w:t>
            </w:r>
          </w:p>
        </w:tc>
        <w:tc>
          <w:tcPr>
            <w:tcW w:w="39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400" w:lineRule="exact"/>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根据《广东省人民政府关于废止和修改部分省政府规章的决定》(广东省人民政府令第289号)“删去《广东省病媒生物预防控制管理规定》第十五条、第十六条”的规定，我省已取消病媒生物预防控制有偿服务机构备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42567"/>
    <w:rsid w:val="6D74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28"/>
      <w:szCs w:val="20"/>
      <w:lang w:bidi="ar-SA"/>
    </w:rPr>
  </w:style>
  <w:style w:type="paragraph" w:styleId="3">
    <w:name w:val="Title"/>
    <w:basedOn w:val="1"/>
    <w:next w:val="1"/>
    <w:qFormat/>
    <w:uiPriority w:val="0"/>
    <w:pPr>
      <w:spacing w:before="240" w:beforeLines="0" w:after="60" w:afterLines="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2023-10-18T04:20:00Z</dcterms:created>
  <dc:creator>chenjia</dc:creator>
  <cp:lastModifiedBy>chenjia</cp:lastModifiedBy>
  <dcterms:modified xsi:type="dcterms:W3CDTF">2023-10-18T04:20:23Z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