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440" w:type="dxa"/>
        <w:tblInd w:w="-95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888"/>
        <w:gridCol w:w="5577"/>
        <w:gridCol w:w="4910"/>
        <w:gridCol w:w="2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trPr>
        <w:tc>
          <w:tcPr>
            <w:tcW w:w="15440" w:type="dxa"/>
            <w:gridSpan w:val="5"/>
            <w:tcBorders>
              <w:tl2br w:val="nil"/>
              <w:tr2bl w:val="nil"/>
            </w:tcBorders>
            <w:vAlign w:val="top"/>
          </w:tcPr>
          <w:p>
            <w:pPr>
              <w:jc w:val="left"/>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eastAsia="zh-CN"/>
              </w:rPr>
              <w:t>附件</w:t>
            </w:r>
            <w:r>
              <w:rPr>
                <w:rFonts w:hint="default" w:ascii="Times New Roman" w:hAnsi="Times New Roman" w:eastAsia="黑体" w:cs="Times New Roman"/>
                <w:sz w:val="32"/>
                <w:szCs w:val="32"/>
                <w:u w:val="none"/>
                <w:lang w:val="en-US" w:eastAsia="zh-CN"/>
              </w:rPr>
              <w:t>4</w:t>
            </w:r>
          </w:p>
          <w:p>
            <w:pPr>
              <w:jc w:val="center"/>
              <w:rPr>
                <w:rFonts w:hint="default" w:ascii="Times New Roman" w:hAnsi="Times New Roman" w:eastAsia="宋体" w:cs="Times New Roman"/>
                <w:b/>
                <w:color w:val="000000"/>
                <w:sz w:val="32"/>
                <w:lang w:val="en-US" w:eastAsia="zh-CN"/>
              </w:rPr>
            </w:pPr>
            <w:bookmarkStart w:id="0" w:name="_GoBack"/>
            <w:r>
              <w:rPr>
                <w:rFonts w:hint="default" w:ascii="Times New Roman" w:hAnsi="Times New Roman" w:cs="Times New Roman"/>
                <w:b/>
                <w:color w:val="000000"/>
                <w:sz w:val="32"/>
              </w:rPr>
              <w:t>《关于</w:t>
            </w:r>
            <w:r>
              <w:rPr>
                <w:rFonts w:hint="eastAsia" w:cs="Times New Roman"/>
                <w:b/>
                <w:color w:val="000000"/>
                <w:sz w:val="32"/>
                <w:lang w:eastAsia="zh-CN"/>
              </w:rPr>
              <w:t>整体推进</w:t>
            </w:r>
            <w:r>
              <w:rPr>
                <w:rFonts w:hint="default" w:ascii="Times New Roman" w:hAnsi="Times New Roman" w:cs="Times New Roman"/>
                <w:b/>
                <w:color w:val="000000"/>
                <w:sz w:val="32"/>
              </w:rPr>
              <w:t>国家基本药物制度实施</w:t>
            </w:r>
            <w:r>
              <w:rPr>
                <w:rFonts w:hint="eastAsia" w:cs="Times New Roman"/>
                <w:b/>
                <w:color w:val="000000"/>
                <w:sz w:val="32"/>
                <w:lang w:eastAsia="zh-CN"/>
              </w:rPr>
              <w:t>的行动方案（</w:t>
            </w:r>
            <w:r>
              <w:rPr>
                <w:rFonts w:hint="default" w:ascii="Times New Roman" w:hAnsi="Times New Roman" w:cs="Times New Roman"/>
                <w:b/>
                <w:color w:val="000000"/>
                <w:sz w:val="32"/>
              </w:rPr>
              <w:t>征求意见稿）》</w:t>
            </w:r>
            <w:r>
              <w:rPr>
                <w:rFonts w:hint="eastAsia" w:ascii="Times New Roman" w:hAnsi="Times New Roman" w:cs="Times New Roman"/>
                <w:b/>
                <w:color w:val="000000"/>
                <w:sz w:val="32"/>
                <w:lang w:eastAsia="zh-CN"/>
              </w:rPr>
              <w:t>公开</w:t>
            </w:r>
            <w:r>
              <w:rPr>
                <w:rFonts w:hint="default" w:ascii="Times New Roman" w:hAnsi="Times New Roman" w:cs="Times New Roman"/>
                <w:b/>
                <w:color w:val="000000"/>
                <w:sz w:val="32"/>
              </w:rPr>
              <w:t>征求意见采纳情况</w:t>
            </w:r>
            <w:r>
              <w:rPr>
                <w:rFonts w:hint="default" w:ascii="Times New Roman" w:hAnsi="Times New Roman" w:cs="Times New Roman"/>
                <w:b/>
                <w:color w:val="000000"/>
                <w:sz w:val="32"/>
                <w:lang w:eastAsia="zh-CN"/>
              </w:rPr>
              <w:t>表</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trPr>
        <w:tc>
          <w:tcPr>
            <w:tcW w:w="1547" w:type="dxa"/>
            <w:tcBorders>
              <w:tl2br w:val="nil"/>
              <w:tr2bl w:val="nil"/>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黑体" w:hAnsi="黑体" w:eastAsia="黑体" w:cs="Times New Roman"/>
                <w:b w:val="0"/>
                <w:bCs/>
                <w:color w:val="000000"/>
                <w:sz w:val="24"/>
                <w:lang w:val="en-US" w:eastAsia="zh-CN"/>
              </w:rPr>
            </w:pPr>
            <w:r>
              <w:rPr>
                <w:rFonts w:hint="eastAsia" w:ascii="黑体" w:hAnsi="黑体" w:eastAsia="黑体" w:cs="Times New Roman"/>
                <w:b w:val="0"/>
                <w:bCs/>
                <w:color w:val="000000"/>
                <w:sz w:val="24"/>
                <w:lang w:val="en-US" w:eastAsia="zh-CN"/>
              </w:rPr>
              <w:t>单位</w:t>
            </w:r>
          </w:p>
        </w:tc>
        <w:tc>
          <w:tcPr>
            <w:tcW w:w="888" w:type="dxa"/>
            <w:tcBorders>
              <w:tl2br w:val="nil"/>
              <w:tr2bl w:val="nil"/>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黑体" w:hAnsi="黑体" w:eastAsia="黑体" w:cs="Times New Roman"/>
                <w:b w:val="0"/>
                <w:bCs/>
                <w:color w:val="000000"/>
                <w:sz w:val="24"/>
              </w:rPr>
            </w:pPr>
            <w:r>
              <w:rPr>
                <w:rFonts w:hint="eastAsia" w:ascii="黑体" w:hAnsi="黑体" w:eastAsia="黑体" w:cs="Times New Roman"/>
                <w:b w:val="0"/>
                <w:bCs/>
                <w:color w:val="000000"/>
                <w:sz w:val="24"/>
              </w:rPr>
              <w:t>序号</w:t>
            </w:r>
          </w:p>
        </w:tc>
        <w:tc>
          <w:tcPr>
            <w:tcW w:w="5577" w:type="dxa"/>
            <w:tcBorders>
              <w:tl2br w:val="nil"/>
              <w:tr2bl w:val="nil"/>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黑体" w:hAnsi="黑体" w:eastAsia="黑体" w:cs="Times New Roman"/>
                <w:b w:val="0"/>
                <w:bCs/>
                <w:color w:val="000000"/>
                <w:sz w:val="24"/>
              </w:rPr>
            </w:pPr>
            <w:r>
              <w:rPr>
                <w:rFonts w:hint="eastAsia" w:ascii="黑体" w:hAnsi="黑体" w:eastAsia="黑体" w:cs="Times New Roman"/>
                <w:b w:val="0"/>
                <w:bCs/>
                <w:color w:val="000000"/>
                <w:sz w:val="24"/>
              </w:rPr>
              <w:t>意见</w:t>
            </w:r>
            <w:r>
              <w:rPr>
                <w:rFonts w:hint="eastAsia" w:ascii="黑体" w:hAnsi="黑体" w:eastAsia="黑体" w:cs="Times New Roman"/>
                <w:b w:val="0"/>
                <w:bCs/>
                <w:color w:val="000000"/>
                <w:sz w:val="24"/>
                <w:lang w:eastAsia="zh-CN"/>
              </w:rPr>
              <w:t>与</w:t>
            </w:r>
            <w:r>
              <w:rPr>
                <w:rFonts w:hint="eastAsia" w:ascii="黑体" w:hAnsi="黑体" w:eastAsia="黑体" w:cs="Times New Roman"/>
                <w:b w:val="0"/>
                <w:bCs/>
                <w:color w:val="000000"/>
                <w:sz w:val="24"/>
              </w:rPr>
              <w:t>建议</w:t>
            </w:r>
          </w:p>
        </w:tc>
        <w:tc>
          <w:tcPr>
            <w:tcW w:w="4910" w:type="dxa"/>
            <w:tcBorders>
              <w:tl2br w:val="nil"/>
              <w:tr2bl w:val="nil"/>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黑体" w:hAnsi="黑体" w:eastAsia="黑体" w:cs="Times New Roman"/>
                <w:b w:val="0"/>
                <w:bCs/>
                <w:color w:val="000000"/>
                <w:sz w:val="24"/>
              </w:rPr>
            </w:pPr>
            <w:r>
              <w:rPr>
                <w:rFonts w:hint="eastAsia" w:ascii="黑体" w:hAnsi="黑体" w:eastAsia="黑体" w:cs="Times New Roman"/>
                <w:b w:val="0"/>
                <w:bCs/>
                <w:color w:val="000000"/>
                <w:sz w:val="24"/>
              </w:rPr>
              <w:t>理</w:t>
            </w:r>
            <w:r>
              <w:rPr>
                <w:rFonts w:hint="eastAsia" w:ascii="黑体" w:hAnsi="黑体" w:eastAsia="黑体" w:cs="Times New Roman"/>
                <w:b w:val="0"/>
                <w:bCs/>
                <w:color w:val="000000"/>
                <w:sz w:val="24"/>
                <w:lang w:val="en-US" w:eastAsia="zh-CN"/>
              </w:rPr>
              <w:t xml:space="preserve">  </w:t>
            </w:r>
            <w:r>
              <w:rPr>
                <w:rFonts w:hint="eastAsia" w:ascii="黑体" w:hAnsi="黑体" w:eastAsia="黑体" w:cs="Times New Roman"/>
                <w:b w:val="0"/>
                <w:bCs/>
                <w:color w:val="000000"/>
                <w:sz w:val="24"/>
              </w:rPr>
              <w:t>由</w:t>
            </w:r>
          </w:p>
        </w:tc>
        <w:tc>
          <w:tcPr>
            <w:tcW w:w="2518" w:type="dxa"/>
            <w:tcBorders>
              <w:tl2br w:val="nil"/>
              <w:tr2bl w:val="nil"/>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黑体" w:hAnsi="黑体" w:eastAsia="黑体" w:cs="Times New Roman"/>
                <w:b w:val="0"/>
                <w:bCs/>
                <w:color w:val="000000"/>
                <w:sz w:val="24"/>
              </w:rPr>
            </w:pPr>
            <w:r>
              <w:rPr>
                <w:rFonts w:hint="eastAsia" w:ascii="黑体" w:hAnsi="黑体" w:eastAsia="黑体" w:cs="Times New Roman"/>
                <w:b w:val="0"/>
                <w:bCs/>
                <w:color w:val="000000"/>
                <w:sz w:val="24"/>
              </w:rPr>
              <w:t>采纳情况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55" w:hRule="atLeast"/>
        </w:trPr>
        <w:tc>
          <w:tcPr>
            <w:tcW w:w="1547" w:type="dxa"/>
            <w:tcBorders>
              <w:tl2br w:val="nil"/>
              <w:tr2bl w:val="nil"/>
            </w:tcBorders>
            <w:vAlign w:val="center"/>
          </w:tcPr>
          <w:p>
            <w:pPr>
              <w:jc w:val="center"/>
              <w:rPr>
                <w:rFonts w:hint="eastAsia" w:eastAsia="仿宋_GB2312" w:cs="Times New Roman"/>
                <w:color w:val="000000"/>
                <w:sz w:val="24"/>
                <w:szCs w:val="24"/>
                <w:lang w:val="en-US" w:eastAsia="zh-CN"/>
              </w:rPr>
            </w:pPr>
            <w:r>
              <w:rPr>
                <w:rFonts w:hint="eastAsia" w:eastAsia="仿宋_GB2312" w:cs="Times New Roman"/>
                <w:color w:val="000000"/>
                <w:sz w:val="24"/>
                <w:szCs w:val="24"/>
                <w:lang w:val="en-US" w:eastAsia="zh-CN"/>
              </w:rPr>
              <w:t>广东医药价格协会；广州中医药大学附属第一医院、韶关市妇幼保健院、越秀区人民街道社区卫生服务中心等医疗机构； 广州普赛诺菲公司、礼来、诺和诺德、江苏万邦、北京诺华、GSK公司、兴和制药、施维雅等制药公司</w:t>
            </w:r>
          </w:p>
        </w:tc>
        <w:tc>
          <w:tcPr>
            <w:tcW w:w="888" w:type="dxa"/>
            <w:tcBorders>
              <w:tl2br w:val="nil"/>
              <w:tr2bl w:val="nil"/>
            </w:tcBorders>
            <w:vAlign w:val="center"/>
          </w:tcPr>
          <w:p>
            <w:pPr>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w:t>
            </w:r>
          </w:p>
        </w:tc>
        <w:tc>
          <w:tcPr>
            <w:tcW w:w="5577" w:type="dxa"/>
            <w:tcBorders>
              <w:tl2br w:val="nil"/>
              <w:tr2bl w:val="nil"/>
            </w:tcBorders>
            <w:vAlign w:val="top"/>
          </w:tcPr>
          <w:p>
            <w:pPr>
              <w:widowControl w:val="0"/>
              <w:wordWrap/>
              <w:adjustRightInd/>
              <w:snapToGrid/>
              <w:spacing w:line="400" w:lineRule="exact"/>
              <w:ind w:left="0" w:leftChars="0" w:right="0" w:rightChars="0" w:firstLine="0" w:firstLineChars="0"/>
              <w:jc w:val="left"/>
              <w:textAlignment w:val="auto"/>
              <w:outlineLvl w:val="9"/>
              <w:rPr>
                <w:rFonts w:hint="eastAsia" w:eastAsia="仿宋_GB2312" w:cs="Times New Roman"/>
                <w:color w:val="000000"/>
                <w:sz w:val="24"/>
                <w:lang w:eastAsia="zh-CN"/>
              </w:rPr>
            </w:pPr>
            <w:r>
              <w:rPr>
                <w:rFonts w:hint="eastAsia" w:eastAsia="仿宋_GB2312" w:cs="Times New Roman"/>
                <w:color w:val="000000"/>
                <w:sz w:val="24"/>
                <w:lang w:eastAsia="zh-CN"/>
              </w:rPr>
              <w:t>通过整理我委</w:t>
            </w:r>
            <w:r>
              <w:rPr>
                <w:rFonts w:hint="eastAsia" w:eastAsia="仿宋_GB2312" w:cs="Times New Roman"/>
                <w:color w:val="000000"/>
                <w:sz w:val="24"/>
                <w:lang w:val="en-US" w:eastAsia="zh-CN"/>
              </w:rPr>
              <w:t>2019年4月10日至19日在省卫生健康官网公示的《关于整体推进国家基本药物制度实施的行动方案》（征求意见稿）向社会广泛征求意见的材料。问题主要集中在《行动方案》中</w:t>
            </w:r>
            <w:r>
              <w:rPr>
                <w:rFonts w:hint="eastAsia" w:eastAsia="仿宋_GB2312" w:cs="Times New Roman"/>
                <w:color w:val="000000"/>
                <w:sz w:val="24"/>
                <w:lang w:eastAsia="zh-CN"/>
              </w:rPr>
              <w:t>“基本药物使用比例</w:t>
            </w:r>
            <w:r>
              <w:rPr>
                <w:rFonts w:hint="eastAsia" w:eastAsia="仿宋_GB2312" w:cs="Times New Roman"/>
                <w:color w:val="000000"/>
                <w:sz w:val="24"/>
                <w:lang w:val="en-US" w:eastAsia="zh-CN"/>
              </w:rPr>
              <w:t>...原则上基层医疗卫生机构配备使用不得少于本机构采购目录85的品规,二级以上公立医疗卫生机构配备使用不得少于基本药物目录50%的品规。</w:t>
            </w:r>
            <w:r>
              <w:rPr>
                <w:rFonts w:hint="eastAsia" w:eastAsia="仿宋_GB2312" w:cs="Times New Roman"/>
                <w:color w:val="000000"/>
                <w:sz w:val="24"/>
                <w:lang w:eastAsia="zh-CN"/>
              </w:rPr>
              <w:t>”此段的表述。（一）公立医院普遍建议：降低或取消“基本药物配备使用比例”。</w:t>
            </w:r>
            <w:r>
              <w:rPr>
                <w:rFonts w:hint="eastAsia" w:eastAsia="仿宋_GB2312" w:cs="Times New Roman"/>
                <w:color w:val="000000"/>
                <w:sz w:val="24"/>
                <w:lang w:val="en-US" w:eastAsia="zh-CN"/>
              </w:rPr>
              <w:t>(二）</w:t>
            </w:r>
            <w:r>
              <w:rPr>
                <w:rFonts w:hint="eastAsia" w:eastAsia="仿宋_GB2312" w:cs="Times New Roman"/>
                <w:color w:val="000000"/>
                <w:sz w:val="24"/>
                <w:lang w:eastAsia="zh-CN"/>
              </w:rPr>
              <w:t>药品生产企业及个人普遍建议：按</w:t>
            </w:r>
            <w:r>
              <w:rPr>
                <w:rFonts w:hint="eastAsia" w:eastAsia="仿宋_GB2312" w:cs="Times New Roman"/>
                <w:color w:val="000000"/>
                <w:sz w:val="24"/>
                <w:lang w:val="en-US" w:eastAsia="zh-CN"/>
              </w:rPr>
              <w:t>广东省2017年制定的政策</w:t>
            </w:r>
            <w:r>
              <w:rPr>
                <w:rFonts w:hint="eastAsia" w:eastAsia="仿宋_GB2312" w:cs="Times New Roman"/>
                <w:color w:val="000000"/>
                <w:sz w:val="24"/>
                <w:lang w:eastAsia="zh-CN"/>
              </w:rPr>
              <w:t>继续实施；个别药品生产企业提供了其他省份关于“基本药物配备使用比例”的材料，建议结合实际认真研究，从新确认“基本药物配备使用比例”。（基层医疗机构普遍反映目前标准难以落实）（三）“规品、品规”改为“品种”。</w:t>
            </w:r>
          </w:p>
        </w:tc>
        <w:tc>
          <w:tcPr>
            <w:tcW w:w="4910" w:type="dxa"/>
            <w:tcBorders>
              <w:tl2br w:val="nil"/>
              <w:tr2bl w:val="nil"/>
            </w:tcBorders>
            <w:vAlign w:val="top"/>
          </w:tcPr>
          <w:p>
            <w:pPr>
              <w:widowControl w:val="0"/>
              <w:wordWrap/>
              <w:adjustRightInd/>
              <w:snapToGrid/>
              <w:spacing w:line="400" w:lineRule="exact"/>
              <w:ind w:left="0" w:leftChars="0" w:right="0" w:firstLine="0" w:firstLineChars="0"/>
              <w:jc w:val="left"/>
              <w:textAlignment w:val="auto"/>
              <w:outlineLvl w:val="9"/>
              <w:rPr>
                <w:rFonts w:hint="eastAsia" w:eastAsia="仿宋_GB2312" w:cs="Times New Roman"/>
                <w:color w:val="000000"/>
                <w:sz w:val="24"/>
                <w:szCs w:val="24"/>
                <w:lang w:val="en-US" w:eastAsia="zh-CN"/>
              </w:rPr>
            </w:pPr>
            <w:r>
              <w:rPr>
                <w:rFonts w:hint="eastAsia" w:eastAsia="仿宋_GB2312" w:cs="Times New Roman"/>
                <w:color w:val="000000"/>
                <w:sz w:val="24"/>
                <w:szCs w:val="22"/>
                <w:lang w:val="en-US" w:eastAsia="zh-CN"/>
              </w:rPr>
              <w:t>广东省一直以来稳步推行基药政策，自2012年开始要求二级以上医疗机构的使用比例在40%左右， 2015年将基药的使用比例放开到基层使用非基药不超40%，再到2017年7月1日起不再对各级医疗机构配备使用国家基药品规数和金额比例作强制性考核要求。</w:t>
            </w:r>
          </w:p>
          <w:p>
            <w:pPr>
              <w:widowControl w:val="0"/>
              <w:wordWrap/>
              <w:adjustRightInd/>
              <w:snapToGrid/>
              <w:spacing w:line="400" w:lineRule="exact"/>
              <w:ind w:left="0" w:leftChars="0" w:right="0" w:firstLine="0" w:firstLineChars="0"/>
              <w:jc w:val="left"/>
              <w:textAlignment w:val="auto"/>
              <w:outlineLvl w:val="9"/>
              <w:rPr>
                <w:rFonts w:hint="eastAsia" w:ascii="仿宋_GB2312" w:hAnsi="黑体" w:eastAsia="仿宋_GB2312" w:cs="仿宋_GB2312"/>
                <w:sz w:val="24"/>
                <w:szCs w:val="24"/>
              </w:rPr>
            </w:pPr>
            <w:r>
              <w:rPr>
                <w:rFonts w:hint="eastAsia" w:ascii="仿宋_GB2312" w:hAnsi="黑体" w:eastAsia="仿宋_GB2312" w:cs="仿宋_GB2312"/>
                <w:sz w:val="24"/>
                <w:szCs w:val="24"/>
              </w:rPr>
              <w:t>建议基药配备使用比例</w:t>
            </w:r>
            <w:r>
              <w:rPr>
                <w:rFonts w:hint="eastAsia" w:ascii="仿宋_GB2312" w:hAnsi="黑体" w:eastAsia="仿宋_GB2312" w:cs="仿宋_GB2312"/>
                <w:sz w:val="24"/>
                <w:szCs w:val="24"/>
                <w:lang w:val="en-US" w:eastAsia="zh-CN"/>
              </w:rPr>
              <w:t>适当</w:t>
            </w:r>
            <w:r>
              <w:rPr>
                <w:rFonts w:hint="eastAsia" w:ascii="仿宋_GB2312" w:hAnsi="黑体" w:eastAsia="仿宋_GB2312" w:cs="仿宋_GB2312"/>
                <w:sz w:val="24"/>
                <w:szCs w:val="24"/>
              </w:rPr>
              <w:t>下调，</w:t>
            </w:r>
            <w:r>
              <w:rPr>
                <w:rFonts w:hint="eastAsia" w:ascii="仿宋_GB2312" w:hAnsi="黑体" w:eastAsia="仿宋_GB2312" w:cs="仿宋_GB2312"/>
                <w:sz w:val="24"/>
                <w:szCs w:val="24"/>
                <w:lang w:val="en-US" w:eastAsia="zh-CN"/>
              </w:rPr>
              <w:t>以便</w:t>
            </w:r>
            <w:r>
              <w:rPr>
                <w:rFonts w:hint="eastAsia" w:ascii="仿宋_GB2312" w:hAnsi="黑体" w:eastAsia="仿宋_GB2312" w:cs="仿宋_GB2312"/>
                <w:sz w:val="24"/>
                <w:szCs w:val="24"/>
              </w:rPr>
              <w:t>推进医联体内部的药学协作</w:t>
            </w:r>
            <w:r>
              <w:rPr>
                <w:rFonts w:hint="eastAsia" w:ascii="仿宋_GB2312" w:hAnsi="黑体" w:eastAsia="仿宋_GB2312" w:cs="仿宋_GB2312"/>
                <w:sz w:val="24"/>
                <w:szCs w:val="24"/>
                <w:lang w:val="en-US" w:eastAsia="zh-CN"/>
              </w:rPr>
              <w:t>；</w:t>
            </w:r>
            <w:r>
              <w:rPr>
                <w:rFonts w:hint="eastAsia" w:ascii="仿宋_GB2312" w:hAnsi="黑体" w:eastAsia="仿宋_GB2312" w:cs="仿宋_GB2312"/>
                <w:sz w:val="24"/>
                <w:szCs w:val="24"/>
              </w:rPr>
              <w:t>三级医院承担急重症和疑难疾病诊疗</w:t>
            </w:r>
            <w:r>
              <w:rPr>
                <w:rFonts w:hint="eastAsia" w:ascii="仿宋_GB2312" w:hAnsi="黑体" w:eastAsia="仿宋_GB2312" w:cs="仿宋_GB2312"/>
                <w:sz w:val="24"/>
                <w:szCs w:val="24"/>
                <w:lang w:val="en-US" w:eastAsia="zh-CN"/>
              </w:rPr>
              <w:t>的任务</w:t>
            </w:r>
            <w:r>
              <w:rPr>
                <w:rFonts w:hint="eastAsia" w:ascii="仿宋_GB2312" w:hAnsi="黑体" w:eastAsia="仿宋_GB2312" w:cs="仿宋_GB2312"/>
                <w:sz w:val="24"/>
                <w:szCs w:val="24"/>
              </w:rPr>
              <w:t>，高质量层次基药产品的使用需求较。</w:t>
            </w:r>
          </w:p>
          <w:p>
            <w:pPr>
              <w:widowControl w:val="0"/>
              <w:wordWrap/>
              <w:adjustRightInd/>
              <w:snapToGrid/>
              <w:spacing w:line="400" w:lineRule="exact"/>
              <w:ind w:left="0" w:leftChars="0" w:right="0" w:firstLine="0" w:firstLineChars="0"/>
              <w:jc w:val="left"/>
              <w:textAlignment w:val="auto"/>
              <w:outlineLvl w:val="9"/>
              <w:rPr>
                <w:rFonts w:hint="eastAsia" w:eastAsia="仿宋_GB2312" w:cs="Times New Roman"/>
                <w:color w:val="000000"/>
                <w:sz w:val="24"/>
                <w:lang w:val="en-US" w:eastAsia="zh-CN"/>
              </w:rPr>
            </w:pPr>
            <w:r>
              <w:rPr>
                <w:rFonts w:hint="eastAsia" w:eastAsia="仿宋_GB2312" w:cs="Times New Roman"/>
                <w:color w:val="000000"/>
                <w:sz w:val="24"/>
                <w:lang w:eastAsia="zh-CN"/>
              </w:rPr>
              <w:t>（三）广州中医药大学第一附属医院：《关于进一步加强公立医疗机构基本药物配备使用管理的通知》（国卫药政发【</w:t>
            </w:r>
            <w:r>
              <w:rPr>
                <w:rFonts w:hint="eastAsia" w:eastAsia="仿宋_GB2312" w:cs="Times New Roman"/>
                <w:color w:val="000000"/>
                <w:sz w:val="24"/>
                <w:lang w:val="en-US" w:eastAsia="zh-CN"/>
              </w:rPr>
              <w:t>2019</w:t>
            </w:r>
            <w:r>
              <w:rPr>
                <w:rFonts w:hint="eastAsia" w:eastAsia="仿宋_GB2312" w:cs="Times New Roman"/>
                <w:color w:val="000000"/>
                <w:sz w:val="24"/>
                <w:lang w:eastAsia="zh-CN"/>
              </w:rPr>
              <w:t>】</w:t>
            </w:r>
            <w:r>
              <w:rPr>
                <w:rFonts w:hint="eastAsia" w:eastAsia="仿宋_GB2312" w:cs="Times New Roman"/>
                <w:color w:val="000000"/>
                <w:sz w:val="24"/>
                <w:lang w:val="en-US" w:eastAsia="zh-CN"/>
              </w:rPr>
              <w:t>1号</w:t>
            </w:r>
            <w:r>
              <w:rPr>
                <w:rFonts w:hint="eastAsia" w:eastAsia="仿宋_GB2312" w:cs="Times New Roman"/>
                <w:color w:val="000000"/>
                <w:sz w:val="24"/>
                <w:lang w:eastAsia="zh-CN"/>
              </w:rPr>
              <w:t>），文中指的是配备国家基本药物的品种而非品规。</w:t>
            </w:r>
          </w:p>
        </w:tc>
        <w:tc>
          <w:tcPr>
            <w:tcW w:w="251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eastAsia="仿宋_GB2312" w:cs="Times New Roman"/>
                <w:color w:val="000000"/>
                <w:sz w:val="24"/>
                <w:szCs w:val="24"/>
                <w:lang w:val="en-US" w:eastAsia="zh-CN"/>
              </w:rPr>
            </w:pPr>
            <w:r>
              <w:rPr>
                <w:rFonts w:hint="eastAsia" w:eastAsia="仿宋_GB2312" w:cs="Times New Roman"/>
                <w:color w:val="000000"/>
                <w:sz w:val="24"/>
                <w:szCs w:val="24"/>
                <w:lang w:eastAsia="zh-CN"/>
              </w:rPr>
              <w:t>原则采纳，表述为“原</w:t>
            </w:r>
            <w:r>
              <w:rPr>
                <w:rFonts w:hint="eastAsia" w:eastAsia="仿宋_GB2312" w:cs="Times New Roman"/>
                <w:color w:val="000000"/>
                <w:sz w:val="24"/>
                <w:szCs w:val="24"/>
                <w:lang w:val="en-US" w:eastAsia="zh-CN"/>
              </w:rPr>
              <w:t>则上基层、二级、三级公立医疗卫生机构分别采购配备国家基本药物品种数不得少于本机构采购药品目录品种数的60%、50%、40%,使用金额占比分别不得少于50%、40%、30%”。国家文件要求以省为单位明确配备使用比例，根据新版国家基本药物数量和结构，结合医疗机构使用现状，提出配备使用下限要求，并由各地级市进一步明确。</w:t>
            </w:r>
          </w:p>
          <w:p>
            <w:pPr>
              <w:widowControl w:val="0"/>
              <w:wordWrap/>
              <w:adjustRightInd/>
              <w:snapToGrid/>
              <w:spacing w:line="400" w:lineRule="exact"/>
              <w:ind w:left="0" w:leftChars="0" w:right="0" w:rightChars="0" w:firstLine="0" w:firstLineChars="0"/>
              <w:jc w:val="left"/>
              <w:textAlignment w:val="auto"/>
              <w:outlineLvl w:val="9"/>
              <w:rPr>
                <w:rFonts w:hint="default" w:eastAsia="仿宋_GB2312" w:cs="Times New Roman"/>
                <w:color w:val="000000"/>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43" w:hRule="atLeast"/>
        </w:trPr>
        <w:tc>
          <w:tcPr>
            <w:tcW w:w="1547" w:type="dxa"/>
            <w:tcBorders>
              <w:tl2br w:val="nil"/>
              <w:tr2bl w:val="nil"/>
            </w:tcBorders>
            <w:vAlign w:val="center"/>
          </w:tcPr>
          <w:p>
            <w:pPr>
              <w:widowControl w:val="0"/>
              <w:wordWrap/>
              <w:adjustRightInd/>
              <w:snapToGrid/>
              <w:spacing w:line="400" w:lineRule="exact"/>
              <w:ind w:left="0" w:leftChars="0" w:right="0" w:firstLine="0" w:firstLineChars="0"/>
              <w:jc w:val="center"/>
              <w:textAlignment w:val="auto"/>
              <w:outlineLvl w:val="9"/>
              <w:rPr>
                <w:rFonts w:hint="default" w:ascii="Times New Roman" w:hAnsi="Times New Roman" w:eastAsia="仿宋_GB2312" w:cs="Times New Roman"/>
                <w:color w:val="000000"/>
                <w:sz w:val="24"/>
              </w:rPr>
            </w:pPr>
            <w:r>
              <w:rPr>
                <w:rFonts w:hint="eastAsia" w:eastAsia="仿宋_GB2312" w:cs="Times New Roman"/>
                <w:color w:val="000000"/>
                <w:sz w:val="24"/>
                <w:lang w:eastAsia="zh-CN"/>
              </w:rPr>
              <w:t>康芝药业</w:t>
            </w:r>
          </w:p>
        </w:tc>
        <w:tc>
          <w:tcPr>
            <w:tcW w:w="888" w:type="dxa"/>
            <w:tcBorders>
              <w:tl2br w:val="nil"/>
              <w:tr2bl w:val="nil"/>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w:t>
            </w:r>
          </w:p>
        </w:tc>
        <w:tc>
          <w:tcPr>
            <w:tcW w:w="5577" w:type="dxa"/>
            <w:tcBorders>
              <w:tl2br w:val="nil"/>
              <w:tr2bl w:val="nil"/>
            </w:tcBorders>
            <w:vAlign w:val="center"/>
          </w:tcPr>
          <w:p>
            <w:pPr>
              <w:widowControl w:val="0"/>
              <w:wordWrap/>
              <w:adjustRightInd/>
              <w:snapToGrid/>
              <w:spacing w:line="4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关于第5页“集中带量采购。根据本区域常见病、多发病、慢性病等用药需求，遴选循证证据充足、临床用药频度高的品规，优先遴选基本药物、低价药、通过一致性评价的仿制药…”</w:t>
            </w:r>
            <w:r>
              <w:rPr>
                <w:rFonts w:hint="eastAsia" w:ascii="仿宋_GB2312" w:hAnsi="仿宋_GB2312" w:eastAsia="仿宋_GB2312" w:cs="仿宋_GB2312"/>
                <w:sz w:val="24"/>
                <w:szCs w:val="24"/>
                <w:lang w:eastAsia="zh-CN"/>
              </w:rPr>
              <w:t>。（二）康芝药业建议增加“特殊人群的用药需求”</w:t>
            </w:r>
          </w:p>
          <w:p>
            <w:pPr>
              <w:widowControl w:val="0"/>
              <w:wordWrap/>
              <w:adjustRightInd/>
              <w:snapToGrid/>
              <w:spacing w:line="400" w:lineRule="exact"/>
              <w:ind w:left="0" w:leftChars="0" w:right="0" w:firstLine="0" w:firstLineChars="0"/>
              <w:jc w:val="left"/>
              <w:textAlignment w:val="auto"/>
              <w:outlineLvl w:val="9"/>
              <w:rPr>
                <w:rFonts w:hint="eastAsia" w:ascii="仿宋_GB2312" w:hAnsi="仿宋_GB2312" w:eastAsia="仿宋_GB2312" w:cs="仿宋_GB2312"/>
                <w:color w:val="000000"/>
                <w:sz w:val="24"/>
                <w:szCs w:val="24"/>
              </w:rPr>
            </w:pPr>
          </w:p>
        </w:tc>
        <w:tc>
          <w:tcPr>
            <w:tcW w:w="4910" w:type="dxa"/>
            <w:tcBorders>
              <w:tl2br w:val="nil"/>
              <w:tr2bl w:val="nil"/>
            </w:tcBorders>
            <w:vAlign w:val="top"/>
          </w:tcPr>
          <w:p>
            <w:pPr>
              <w:widowControl w:val="0"/>
              <w:numPr>
                <w:ilvl w:val="0"/>
                <w:numId w:val="0"/>
              </w:numPr>
              <w:wordWrap/>
              <w:adjustRightInd/>
              <w:snapToGrid/>
              <w:spacing w:line="400" w:lineRule="exact"/>
              <w:ind w:left="0" w:leftChars="0" w:right="0" w:firstLine="0" w:firstLineChars="0"/>
              <w:jc w:val="left"/>
              <w:textAlignment w:val="auto"/>
              <w:outlineLvl w:val="9"/>
              <w:rPr>
                <w:rFonts w:hint="default" w:ascii="仿宋_GB2312" w:hAnsi="仿宋_GB2312" w:eastAsia="仿宋_GB2312" w:cs="仿宋_GB2312"/>
                <w:color w:val="000000"/>
                <w:kern w:val="0"/>
                <w:sz w:val="24"/>
                <w:szCs w:val="24"/>
              </w:rPr>
            </w:pPr>
          </w:p>
        </w:tc>
        <w:tc>
          <w:tcPr>
            <w:tcW w:w="2518" w:type="dxa"/>
            <w:tcBorders>
              <w:tl2br w:val="nil"/>
              <w:tr2bl w:val="nil"/>
            </w:tcBorders>
            <w:vAlign w:val="top"/>
          </w:tcPr>
          <w:p>
            <w:pPr>
              <w:widowControl w:val="0"/>
              <w:wordWrap/>
              <w:adjustRightInd/>
              <w:snapToGrid/>
              <w:spacing w:line="400" w:lineRule="exact"/>
              <w:ind w:left="0" w:leftChars="0" w:right="0" w:firstLine="0" w:firstLineChars="0"/>
              <w:jc w:val="left"/>
              <w:textAlignment w:val="auto"/>
              <w:outlineLvl w:val="9"/>
              <w:rPr>
                <w:rFonts w:hint="eastAsia" w:ascii="Times New Roman" w:hAnsi="Times New Roman" w:eastAsia="仿宋_GB2312" w:cs="Times New Roman"/>
                <w:color w:val="000000"/>
                <w:sz w:val="24"/>
                <w:lang w:val="en-US" w:eastAsia="zh-CN"/>
              </w:rPr>
            </w:pPr>
            <w:r>
              <w:rPr>
                <w:rFonts w:hint="eastAsia" w:eastAsia="仿宋_GB2312" w:cs="Times New Roman"/>
                <w:color w:val="000000"/>
                <w:sz w:val="24"/>
                <w:lang w:eastAsia="zh-CN"/>
              </w:rPr>
              <w:t>不采纳，</w:t>
            </w:r>
            <w:r>
              <w:rPr>
                <w:rFonts w:hint="eastAsia" w:ascii="仿宋_GB2312" w:hAnsi="仿宋_GB2312" w:eastAsia="仿宋_GB2312" w:cs="仿宋_GB2312"/>
                <w:sz w:val="24"/>
                <w:szCs w:val="24"/>
              </w:rPr>
              <w:t>优先遴选基本药物、低价药、通过一致性评价的仿制药</w:t>
            </w:r>
            <w:r>
              <w:rPr>
                <w:rFonts w:hint="eastAsia" w:ascii="仿宋_GB2312" w:hAnsi="仿宋_GB2312" w:eastAsia="仿宋_GB2312" w:cs="仿宋_GB2312"/>
                <w:sz w:val="24"/>
                <w:szCs w:val="24"/>
                <w:lang w:eastAsia="zh-CN"/>
              </w:rPr>
              <w:t>，符合国家药物政策；增加“特殊人群的用药需求”，文中不需单独表述。</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4167F"/>
    <w:rsid w:val="136446C6"/>
    <w:rsid w:val="33F869DC"/>
    <w:rsid w:val="47A4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2019-10-29T07:37:00Z</dcterms:created>
  <dc:creator>陈佳吟</dc:creator>
  <cp:lastModifiedBy>张欣</cp:lastModifiedBy>
  <dcterms:modified xsi:type="dcterms:W3CDTF">2019-10-30T02:40:02Z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