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73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表1</w:t>
      </w:r>
    </w:p>
    <w:p>
      <w:pPr>
        <w:tabs>
          <w:tab w:val="left" w:pos="7371"/>
        </w:tabs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</w:rPr>
      </w:pPr>
      <w:r>
        <w:rPr>
          <w:rFonts w:hint="default" w:ascii="Times New Roman" w:hAnsi="Times New Roman" w:eastAsia="方正小标宋简体" w:cs="Times New Roman"/>
          <w:sz w:val="36"/>
        </w:rPr>
        <w:t>广东省201</w:t>
      </w:r>
      <w:r>
        <w:rPr>
          <w:rFonts w:hint="default" w:ascii="Times New Roman" w:hAnsi="Times New Roman" w:eastAsia="方正小标宋简体" w:cs="Times New Roman"/>
          <w:sz w:val="36"/>
          <w:lang w:val="en-US" w:eastAsia="zh-CN"/>
        </w:rPr>
        <w:t>8</w:t>
      </w:r>
      <w:r>
        <w:rPr>
          <w:rFonts w:hint="default" w:ascii="Times New Roman" w:hAnsi="Times New Roman" w:eastAsia="方正小标宋简体" w:cs="Times New Roman"/>
          <w:sz w:val="36"/>
        </w:rPr>
        <w:t>年</w:t>
      </w:r>
      <w:r>
        <w:rPr>
          <w:rFonts w:hint="default" w:ascii="Times New Roman" w:hAnsi="Times New Roman" w:eastAsia="方正小标宋简体" w:cs="Times New Roman"/>
          <w:sz w:val="36"/>
          <w:lang w:val="en-US" w:eastAsia="zh-CN"/>
        </w:rPr>
        <w:t>7</w:t>
      </w:r>
      <w:r>
        <w:rPr>
          <w:rFonts w:hint="default" w:ascii="Times New Roman" w:hAnsi="Times New Roman" w:eastAsia="方正小标宋简体" w:cs="Times New Roman"/>
          <w:sz w:val="36"/>
        </w:rPr>
        <w:t>月</w:t>
      </w:r>
      <w:r>
        <w:rPr>
          <w:rFonts w:hint="default" w:ascii="Times New Roman" w:hAnsi="Times New Roman" w:eastAsia="方正小标宋简体" w:cs="Times New Roman"/>
          <w:sz w:val="36"/>
          <w:lang w:eastAsia="zh-CN"/>
        </w:rPr>
        <w:t>上</w:t>
      </w:r>
      <w:r>
        <w:rPr>
          <w:rFonts w:hint="default" w:ascii="Times New Roman" w:hAnsi="Times New Roman" w:eastAsia="方正小标宋简体" w:cs="Times New Roman"/>
          <w:sz w:val="36"/>
        </w:rPr>
        <w:t>半月登革热、寨卡病毒病</w:t>
      </w:r>
    </w:p>
    <w:p>
      <w:pPr>
        <w:tabs>
          <w:tab w:val="left" w:pos="7371"/>
        </w:tabs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</w:rPr>
      </w:pPr>
      <w:r>
        <w:rPr>
          <w:rFonts w:hint="default" w:ascii="Times New Roman" w:hAnsi="Times New Roman" w:eastAsia="方正小标宋简体" w:cs="Times New Roman"/>
          <w:sz w:val="36"/>
        </w:rPr>
        <w:t>媒介伊蚊密度状态监测统计表</w:t>
      </w:r>
    </w:p>
    <w:tbl>
      <w:tblPr>
        <w:tblStyle w:val="3"/>
        <w:tblW w:w="9719" w:type="dxa"/>
        <w:jc w:val="center"/>
        <w:tblInd w:w="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939"/>
        <w:gridCol w:w="700"/>
        <w:gridCol w:w="711"/>
        <w:gridCol w:w="995"/>
        <w:gridCol w:w="698"/>
        <w:gridCol w:w="999"/>
        <w:gridCol w:w="813"/>
        <w:gridCol w:w="939"/>
        <w:gridCol w:w="787"/>
        <w:gridCol w:w="10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11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Ansi="仿宋" w:eastAsia="仿宋"/>
                <w:b/>
                <w:bCs/>
                <w:sz w:val="24"/>
              </w:rPr>
              <w:t>地区</w:t>
            </w:r>
          </w:p>
        </w:tc>
        <w:tc>
          <w:tcPr>
            <w:tcW w:w="9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Ansi="仿宋" w:eastAsia="仿宋"/>
                <w:b/>
                <w:bCs/>
                <w:sz w:val="24"/>
              </w:rPr>
            </w:pPr>
            <w:r>
              <w:rPr>
                <w:rFonts w:hint="eastAsia" w:hAnsi="仿宋" w:eastAsia="仿宋"/>
                <w:b/>
                <w:bCs/>
                <w:sz w:val="24"/>
              </w:rPr>
              <w:t>镇街（个）</w:t>
            </w: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Ansi="仿宋" w:eastAsia="仿宋"/>
                <w:b/>
                <w:bCs/>
                <w:sz w:val="24"/>
              </w:rPr>
              <w:t>监测</w:t>
            </w:r>
          </w:p>
          <w:p>
            <w:pPr>
              <w:spacing w:line="40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Ansi="仿宋" w:eastAsia="仿宋"/>
                <w:b/>
                <w:bCs/>
                <w:sz w:val="24"/>
              </w:rPr>
              <w:t>点数</w:t>
            </w: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Ansi="仿宋" w:eastAsia="仿宋"/>
                <w:b/>
                <w:bCs/>
                <w:sz w:val="24"/>
              </w:rPr>
              <w:t>符合防控要求</w:t>
            </w: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Ansi="仿宋" w:eastAsia="仿宋"/>
                <w:b/>
                <w:bCs/>
                <w:sz w:val="24"/>
              </w:rPr>
              <w:t>低密度状态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Ansi="仿宋" w:eastAsia="仿宋"/>
                <w:b/>
                <w:bCs/>
                <w:sz w:val="24"/>
              </w:rPr>
              <w:t>中密度状态</w:t>
            </w: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Ansi="仿宋" w:eastAsia="仿宋"/>
                <w:b/>
                <w:bCs/>
                <w:sz w:val="24"/>
              </w:rPr>
              <w:t>高密度状态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9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left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Ansi="仿宋" w:eastAsia="仿宋"/>
                <w:b/>
                <w:bCs/>
                <w:sz w:val="24"/>
              </w:rPr>
              <w:t>个数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Ansi="仿宋" w:eastAsia="仿宋"/>
                <w:b/>
                <w:bCs/>
                <w:sz w:val="24"/>
              </w:rPr>
              <w:t>百分比（</w:t>
            </w:r>
            <w:r>
              <w:rPr>
                <w:rFonts w:eastAsia="仿宋"/>
                <w:b/>
                <w:bCs/>
                <w:sz w:val="24"/>
              </w:rPr>
              <w:t>%</w:t>
            </w:r>
            <w:r>
              <w:rPr>
                <w:rFonts w:hAnsi="仿宋" w:eastAsia="仿宋"/>
                <w:b/>
                <w:bCs/>
                <w:sz w:val="24"/>
              </w:rPr>
              <w:t>）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Ansi="仿宋" w:eastAsia="仿宋"/>
                <w:b/>
                <w:bCs/>
                <w:sz w:val="24"/>
              </w:rPr>
              <w:t>个数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Ansi="仿宋" w:eastAsia="仿宋"/>
                <w:b/>
                <w:bCs/>
                <w:sz w:val="24"/>
              </w:rPr>
              <w:t>百分比（</w:t>
            </w:r>
            <w:r>
              <w:rPr>
                <w:rFonts w:eastAsia="仿宋"/>
                <w:b/>
                <w:bCs/>
                <w:sz w:val="24"/>
              </w:rPr>
              <w:t>%</w:t>
            </w:r>
            <w:r>
              <w:rPr>
                <w:rFonts w:hAnsi="仿宋" w:eastAsia="仿宋"/>
                <w:b/>
                <w:bCs/>
                <w:sz w:val="24"/>
              </w:rPr>
              <w:t>）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Ansi="仿宋" w:eastAsia="仿宋"/>
                <w:b/>
                <w:bCs/>
                <w:sz w:val="24"/>
              </w:rPr>
              <w:t>个数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Ansi="仿宋" w:eastAsia="仿宋"/>
                <w:b/>
                <w:bCs/>
                <w:sz w:val="24"/>
              </w:rPr>
              <w:t>百分比（</w:t>
            </w:r>
            <w:r>
              <w:rPr>
                <w:rFonts w:eastAsia="仿宋"/>
                <w:b/>
                <w:bCs/>
                <w:sz w:val="24"/>
              </w:rPr>
              <w:t>%</w:t>
            </w:r>
            <w:r>
              <w:rPr>
                <w:rFonts w:hAnsi="仿宋" w:eastAsia="仿宋"/>
                <w:b/>
                <w:bCs/>
                <w:sz w:val="24"/>
              </w:rPr>
              <w:t>）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Ansi="仿宋" w:eastAsia="仿宋"/>
                <w:b/>
                <w:bCs/>
                <w:sz w:val="24"/>
              </w:rPr>
              <w:t>个数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Ansi="仿宋" w:eastAsia="仿宋"/>
                <w:b/>
                <w:bCs/>
                <w:sz w:val="24"/>
              </w:rPr>
              <w:t>百分比（</w:t>
            </w:r>
            <w:r>
              <w:rPr>
                <w:rFonts w:eastAsia="仿宋"/>
                <w:b/>
                <w:bCs/>
                <w:sz w:val="24"/>
              </w:rPr>
              <w:t>%</w:t>
            </w:r>
            <w:r>
              <w:rPr>
                <w:rFonts w:hAnsi="仿宋" w:eastAsia="仿宋"/>
                <w:b/>
                <w:bCs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Ansi="仿宋" w:eastAsia="仿宋"/>
                <w:b/>
                <w:sz w:val="24"/>
              </w:rPr>
              <w:t>广州市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170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699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71.24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15.45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10.16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Ansi="仿宋" w:eastAsia="仿宋"/>
                <w:b/>
                <w:sz w:val="24"/>
              </w:rPr>
              <w:t>深圳市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40.82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38.92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16.14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Ansi="仿宋" w:eastAsia="仿宋"/>
                <w:b/>
                <w:sz w:val="24"/>
              </w:rPr>
              <w:t>珠海市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72.94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17.65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9.41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Ansi="仿宋" w:eastAsia="仿宋"/>
                <w:b/>
                <w:sz w:val="24"/>
              </w:rPr>
              <w:t>汕头市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69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67.61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32.39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0.00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Ansi="仿宋" w:eastAsia="仿宋"/>
                <w:b/>
                <w:sz w:val="24"/>
              </w:rPr>
              <w:t>佛山市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21.38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36.55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37.24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4.83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Ansi="仿宋" w:eastAsia="仿宋"/>
                <w:b/>
                <w:sz w:val="24"/>
              </w:rPr>
              <w:t>韶关市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64.10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25.64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5.13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Ansi="仿宋" w:eastAsia="仿宋"/>
                <w:b/>
                <w:sz w:val="24"/>
              </w:rPr>
              <w:t>河源市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40.35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29.82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29.82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Ansi="仿宋" w:eastAsia="仿宋"/>
                <w:b/>
                <w:sz w:val="24"/>
              </w:rPr>
              <w:t>梅州市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110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71.43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28.57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0.00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Ansi="仿宋" w:eastAsia="仿宋"/>
                <w:b/>
                <w:sz w:val="24"/>
              </w:rPr>
              <w:t>惠州市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71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77.55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16.33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6.12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Ansi="仿宋" w:eastAsia="仿宋"/>
                <w:b/>
                <w:sz w:val="24"/>
              </w:rPr>
              <w:t>汕尾市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63.38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32.39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4.23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Ansi="仿宋" w:eastAsia="仿宋"/>
                <w:b/>
                <w:sz w:val="24"/>
              </w:rPr>
              <w:t>东莞市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84.51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12.68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2.82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Ansi="仿宋" w:eastAsia="仿宋"/>
                <w:b/>
                <w:sz w:val="24"/>
              </w:rPr>
              <w:t>中山市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26.67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57.78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11.11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4.44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Ansi="仿宋" w:eastAsia="仿宋"/>
                <w:b/>
                <w:sz w:val="24"/>
              </w:rPr>
              <w:t>江门市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73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72.44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25.98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1.57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Ansi="仿宋" w:eastAsia="仿宋"/>
                <w:b/>
                <w:sz w:val="24"/>
              </w:rPr>
              <w:t>阳江市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48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26.23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39.34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32.79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1.64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Ansi="仿宋" w:eastAsia="仿宋"/>
                <w:b/>
                <w:sz w:val="24"/>
              </w:rPr>
              <w:t>湛江市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121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93.71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4.57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1.71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Ansi="仿宋" w:eastAsia="仿宋"/>
                <w:b/>
                <w:sz w:val="24"/>
              </w:rPr>
              <w:t>茂名市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109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80.91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18.18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0.91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Ansi="仿宋" w:eastAsia="仿宋"/>
                <w:b/>
                <w:sz w:val="24"/>
              </w:rPr>
              <w:t>肇庆市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94.79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4.74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0.47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Ansi="仿宋" w:eastAsia="仿宋"/>
                <w:b/>
                <w:sz w:val="24"/>
              </w:rPr>
              <w:t>清远市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85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68.75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22.50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8.75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Ansi="仿宋" w:eastAsia="仿宋"/>
                <w:b/>
                <w:sz w:val="24"/>
              </w:rPr>
              <w:t>潮州市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66.96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32.17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0.87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Ansi="仿宋" w:eastAsia="仿宋"/>
                <w:b/>
                <w:sz w:val="24"/>
              </w:rPr>
              <w:t>揭阳市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83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36.14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55.42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7.23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Ansi="仿宋" w:eastAsia="仿宋"/>
                <w:b/>
                <w:sz w:val="24"/>
              </w:rPr>
              <w:t>云浮市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63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91.58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8.42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0.00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0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Ansi="仿宋" w:eastAsia="仿宋"/>
                <w:b/>
                <w:sz w:val="24"/>
              </w:rPr>
              <w:t>总</w:t>
            </w:r>
            <w:r>
              <w:rPr>
                <w:rFonts w:hint="eastAsia" w:hAnsi="仿宋" w:eastAsia="仿宋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Ansi="仿宋" w:eastAsia="仿宋"/>
                <w:b/>
                <w:sz w:val="24"/>
              </w:rPr>
              <w:t>计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1600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2838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1879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66.21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22.94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9.16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1.69 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73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</w:rPr>
      </w:pPr>
    </w:p>
    <w:p>
      <w:pPr>
        <w:keepNext w:val="0"/>
        <w:keepLines w:val="0"/>
        <w:pageBreakBefore w:val="0"/>
        <w:widowControl w:val="0"/>
        <w:tabs>
          <w:tab w:val="left" w:pos="73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</w:rPr>
      </w:pPr>
    </w:p>
    <w:p>
      <w:pPr>
        <w:keepNext w:val="0"/>
        <w:keepLines w:val="0"/>
        <w:pageBreakBefore w:val="0"/>
        <w:widowControl w:val="0"/>
        <w:tabs>
          <w:tab w:val="left" w:pos="73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</w:rPr>
        <w:t>表</w:t>
      </w:r>
      <w:r>
        <w:rPr>
          <w:rFonts w:hint="default" w:ascii="Times New Roman" w:hAnsi="Times New Roman" w:eastAsia="黑体" w:cs="Times New Roman"/>
          <w:sz w:val="32"/>
          <w:lang w:val="en-US" w:eastAsia="zh-CN"/>
        </w:rPr>
        <w:t>2</w:t>
      </w:r>
    </w:p>
    <w:p>
      <w:pPr>
        <w:widowControl w:val="0"/>
        <w:tabs>
          <w:tab w:val="left" w:pos="7371"/>
        </w:tabs>
        <w:autoSpaceDE w:val="0"/>
        <w:autoSpaceDN w:val="0"/>
        <w:spacing w:line="560" w:lineRule="exact"/>
        <w:jc w:val="center"/>
        <w:outlineLvl w:val="9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各地区登革热媒介伊蚊幼虫密度监测结果（高密度）</w:t>
      </w:r>
    </w:p>
    <w:p>
      <w:pPr>
        <w:widowControl w:val="0"/>
        <w:tabs>
          <w:tab w:val="left" w:pos="7371"/>
        </w:tabs>
        <w:autoSpaceDE w:val="0"/>
        <w:autoSpaceDN w:val="0"/>
        <w:spacing w:line="560" w:lineRule="exact"/>
        <w:jc w:val="center"/>
        <w:outlineLvl w:val="9"/>
        <w:rPr>
          <w:rFonts w:hint="default" w:ascii="Times New Roman" w:hAnsi="Times New Roman" w:eastAsia="黑体" w:cs="Times New Roman"/>
          <w:sz w:val="32"/>
          <w:szCs w:val="24"/>
        </w:rPr>
      </w:pPr>
    </w:p>
    <w:tbl>
      <w:tblPr>
        <w:tblStyle w:val="3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936"/>
        <w:gridCol w:w="1233"/>
        <w:gridCol w:w="3827"/>
        <w:gridCol w:w="1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  <w:jc w:val="center"/>
        </w:trPr>
        <w:tc>
          <w:tcPr>
            <w:tcW w:w="1483" w:type="dxa"/>
            <w:vAlign w:val="center"/>
          </w:tcPr>
          <w:p>
            <w:pPr>
              <w:widowControl/>
              <w:spacing w:line="300" w:lineRule="exact"/>
              <w:ind w:right="-107" w:rightChars="-51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</w:rPr>
              <w:t>监测日期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</w:rPr>
              <w:t>地市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</w:rPr>
              <w:t>县（区）</w:t>
            </w:r>
          </w:p>
        </w:tc>
        <w:tc>
          <w:tcPr>
            <w:tcW w:w="3827" w:type="dxa"/>
            <w:vAlign w:val="top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</w:rPr>
              <w:t>街（镇）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spacing w:line="300" w:lineRule="exact"/>
              <w:ind w:right="-84" w:rightChars="-40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</w:rPr>
              <w:t>BI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restart"/>
            <w:vAlign w:val="center"/>
          </w:tcPr>
          <w:p>
            <w:pPr>
              <w:spacing w:line="300" w:lineRule="exact"/>
              <w:ind w:right="-107" w:rightChars="-51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2018年7月</w:t>
            </w:r>
          </w:p>
          <w:p>
            <w:pPr>
              <w:spacing w:line="300" w:lineRule="exact"/>
              <w:ind w:right="-107" w:rightChars="-51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上半月</w:t>
            </w:r>
          </w:p>
        </w:tc>
        <w:tc>
          <w:tcPr>
            <w:tcW w:w="93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广州市</w:t>
            </w: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荔湾区</w:t>
            </w:r>
          </w:p>
        </w:tc>
        <w:tc>
          <w:tcPr>
            <w:tcW w:w="3827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华林街湛露社区</w:t>
            </w:r>
          </w:p>
        </w:tc>
        <w:tc>
          <w:tcPr>
            <w:tcW w:w="104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25.25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vAlign w:val="center"/>
          </w:tcPr>
          <w:p>
            <w:pPr>
              <w:spacing w:line="300" w:lineRule="exact"/>
              <w:ind w:right="-107" w:rightChars="-51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黄埔区</w:t>
            </w:r>
          </w:p>
        </w:tc>
        <w:tc>
          <w:tcPr>
            <w:tcW w:w="3827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黄埔街珠江村</w:t>
            </w:r>
          </w:p>
        </w:tc>
        <w:tc>
          <w:tcPr>
            <w:tcW w:w="104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27.27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vAlign w:val="center"/>
          </w:tcPr>
          <w:p>
            <w:pPr>
              <w:spacing w:line="300" w:lineRule="exact"/>
              <w:ind w:right="-107" w:rightChars="-51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黄埔街未来之星幼儿园</w:t>
            </w:r>
          </w:p>
        </w:tc>
        <w:tc>
          <w:tcPr>
            <w:tcW w:w="104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vAlign w:val="center"/>
          </w:tcPr>
          <w:p>
            <w:pPr>
              <w:spacing w:line="300" w:lineRule="exact"/>
              <w:ind w:right="-107" w:rightChars="-51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穗东街南湾幼儿园</w:t>
            </w:r>
          </w:p>
        </w:tc>
        <w:tc>
          <w:tcPr>
            <w:tcW w:w="104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45.71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vAlign w:val="center"/>
          </w:tcPr>
          <w:p>
            <w:pPr>
              <w:spacing w:line="300" w:lineRule="exact"/>
              <w:ind w:right="-107" w:rightChars="-51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花都区</w:t>
            </w:r>
          </w:p>
        </w:tc>
        <w:tc>
          <w:tcPr>
            <w:tcW w:w="3827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狮岭镇合成村海布</w:t>
            </w:r>
          </w:p>
        </w:tc>
        <w:tc>
          <w:tcPr>
            <w:tcW w:w="104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56.73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vAlign w:val="center"/>
          </w:tcPr>
          <w:p>
            <w:pPr>
              <w:spacing w:line="300" w:lineRule="exact"/>
              <w:ind w:right="-107" w:rightChars="-51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增城区</w:t>
            </w:r>
          </w:p>
        </w:tc>
        <w:tc>
          <w:tcPr>
            <w:tcW w:w="3827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永宁街章陂村</w:t>
            </w:r>
          </w:p>
        </w:tc>
        <w:tc>
          <w:tcPr>
            <w:tcW w:w="104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vAlign w:val="center"/>
          </w:tcPr>
          <w:p>
            <w:pPr>
              <w:spacing w:line="300" w:lineRule="exact"/>
              <w:ind w:right="-107" w:rightChars="-51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3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深圳市</w:t>
            </w:r>
          </w:p>
        </w:tc>
        <w:tc>
          <w:tcPr>
            <w:tcW w:w="123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福田区</w:t>
            </w:r>
          </w:p>
        </w:tc>
        <w:tc>
          <w:tcPr>
            <w:tcW w:w="3827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沙头街道办事处锦洲花园综合楼</w:t>
            </w:r>
          </w:p>
        </w:tc>
        <w:tc>
          <w:tcPr>
            <w:tcW w:w="104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22.68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vAlign w:val="center"/>
          </w:tcPr>
          <w:p>
            <w:pPr>
              <w:spacing w:line="300" w:lineRule="exact"/>
              <w:ind w:right="-107" w:rightChars="-51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梅林街道办事处特皓苑</w:t>
            </w:r>
          </w:p>
        </w:tc>
        <w:tc>
          <w:tcPr>
            <w:tcW w:w="104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vAlign w:val="center"/>
          </w:tcPr>
          <w:p>
            <w:pPr>
              <w:spacing w:line="300" w:lineRule="exact"/>
              <w:ind w:right="-107" w:rightChars="-51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宝安区</w:t>
            </w:r>
          </w:p>
        </w:tc>
        <w:tc>
          <w:tcPr>
            <w:tcW w:w="3827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新安街道办龙井社区</w:t>
            </w:r>
          </w:p>
        </w:tc>
        <w:tc>
          <w:tcPr>
            <w:tcW w:w="104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vAlign w:val="center"/>
          </w:tcPr>
          <w:p>
            <w:pPr>
              <w:spacing w:line="300" w:lineRule="exact"/>
              <w:ind w:right="-107" w:rightChars="-51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大鹏新区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葵涌街道办葵涌丰树山村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45.10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vAlign w:val="center"/>
          </w:tcPr>
          <w:p>
            <w:pPr>
              <w:spacing w:line="300" w:lineRule="exact"/>
              <w:ind w:right="-107" w:rightChars="-51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大鹏街道办大鹏所城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58.82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vAlign w:val="center"/>
          </w:tcPr>
          <w:p>
            <w:pPr>
              <w:spacing w:line="300" w:lineRule="exact"/>
              <w:ind w:right="-107" w:rightChars="-51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大鹏街道办大鹏较场尾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36.13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vAlign w:val="center"/>
          </w:tcPr>
          <w:p>
            <w:pPr>
              <w:spacing w:line="300" w:lineRule="exact"/>
              <w:ind w:right="-107" w:rightChars="-51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3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葵涌街道办官湖村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26.47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vAlign w:val="center"/>
          </w:tcPr>
          <w:p>
            <w:pPr>
              <w:spacing w:line="300" w:lineRule="exact"/>
              <w:ind w:right="-107" w:rightChars="-51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韶关市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新丰县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回龙镇居委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vAlign w:val="center"/>
          </w:tcPr>
          <w:p>
            <w:pPr>
              <w:spacing w:line="300" w:lineRule="exact"/>
              <w:ind w:right="-107" w:rightChars="-51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中山市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三乡镇前陇村和新圩村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vAlign w:val="center"/>
          </w:tcPr>
          <w:p>
            <w:pPr>
              <w:spacing w:line="300" w:lineRule="exact"/>
              <w:ind w:right="-107" w:rightChars="-51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阳江市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江城区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平冈镇五羊村委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vAlign w:val="center"/>
          </w:tcPr>
          <w:p>
            <w:pPr>
              <w:spacing w:line="300" w:lineRule="exact"/>
              <w:ind w:right="-107" w:rightChars="-51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揭阳市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普宁市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占陇镇洪厝寨西区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22.00 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73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</w:rPr>
      </w:pPr>
    </w:p>
    <w:p>
      <w:pPr>
        <w:keepNext w:val="0"/>
        <w:keepLines w:val="0"/>
        <w:pageBreakBefore w:val="0"/>
        <w:widowControl w:val="0"/>
        <w:tabs>
          <w:tab w:val="left" w:pos="73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</w:rPr>
      </w:pPr>
    </w:p>
    <w:p>
      <w:pPr>
        <w:keepNext w:val="0"/>
        <w:keepLines w:val="0"/>
        <w:pageBreakBefore w:val="0"/>
        <w:widowControl w:val="0"/>
        <w:tabs>
          <w:tab w:val="left" w:pos="73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</w:rPr>
      </w:pPr>
    </w:p>
    <w:p>
      <w:pPr>
        <w:keepNext w:val="0"/>
        <w:keepLines w:val="0"/>
        <w:pageBreakBefore w:val="0"/>
        <w:widowControl w:val="0"/>
        <w:tabs>
          <w:tab w:val="left" w:pos="73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</w:rPr>
      </w:pPr>
    </w:p>
    <w:p>
      <w:pPr>
        <w:keepNext w:val="0"/>
        <w:keepLines w:val="0"/>
        <w:pageBreakBefore w:val="0"/>
        <w:widowControl w:val="0"/>
        <w:tabs>
          <w:tab w:val="left" w:pos="73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</w:rPr>
      </w:pPr>
    </w:p>
    <w:p>
      <w:pPr>
        <w:keepNext w:val="0"/>
        <w:keepLines w:val="0"/>
        <w:pageBreakBefore w:val="0"/>
        <w:widowControl w:val="0"/>
        <w:tabs>
          <w:tab w:val="left" w:pos="73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</w:rPr>
      </w:pPr>
    </w:p>
    <w:p>
      <w:pPr>
        <w:keepNext w:val="0"/>
        <w:keepLines w:val="0"/>
        <w:pageBreakBefore w:val="0"/>
        <w:widowControl w:val="0"/>
        <w:tabs>
          <w:tab w:val="left" w:pos="73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</w:rPr>
      </w:pPr>
    </w:p>
    <w:p>
      <w:pPr>
        <w:keepNext w:val="0"/>
        <w:keepLines w:val="0"/>
        <w:pageBreakBefore w:val="0"/>
        <w:widowControl w:val="0"/>
        <w:tabs>
          <w:tab w:val="left" w:pos="73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</w:rPr>
      </w:pPr>
    </w:p>
    <w:p>
      <w:pPr>
        <w:keepNext w:val="0"/>
        <w:keepLines w:val="0"/>
        <w:pageBreakBefore w:val="0"/>
        <w:widowControl w:val="0"/>
        <w:tabs>
          <w:tab w:val="left" w:pos="73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</w:rPr>
      </w:pPr>
    </w:p>
    <w:p>
      <w:pPr>
        <w:keepNext w:val="0"/>
        <w:keepLines w:val="0"/>
        <w:pageBreakBefore w:val="0"/>
        <w:widowControl w:val="0"/>
        <w:tabs>
          <w:tab w:val="left" w:pos="73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</w:rPr>
      </w:pPr>
    </w:p>
    <w:p>
      <w:pPr>
        <w:keepNext w:val="0"/>
        <w:keepLines w:val="0"/>
        <w:pageBreakBefore w:val="0"/>
        <w:widowControl w:val="0"/>
        <w:tabs>
          <w:tab w:val="left" w:pos="73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</w:rPr>
      </w:pPr>
    </w:p>
    <w:p>
      <w:pPr>
        <w:keepNext w:val="0"/>
        <w:keepLines w:val="0"/>
        <w:pageBreakBefore w:val="0"/>
        <w:widowControl w:val="0"/>
        <w:tabs>
          <w:tab w:val="left" w:pos="73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</w:rPr>
      </w:pPr>
    </w:p>
    <w:p>
      <w:pPr>
        <w:keepNext w:val="0"/>
        <w:keepLines w:val="0"/>
        <w:pageBreakBefore w:val="0"/>
        <w:widowControl w:val="0"/>
        <w:tabs>
          <w:tab w:val="left" w:pos="73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</w:rPr>
        <w:t>表</w:t>
      </w:r>
      <w:r>
        <w:rPr>
          <w:rFonts w:hint="default" w:ascii="Times New Roman" w:hAnsi="Times New Roman" w:eastAsia="黑体" w:cs="Times New Roman"/>
          <w:sz w:val="32"/>
          <w:lang w:val="en-US" w:eastAsia="zh-CN"/>
        </w:rPr>
        <w:t>3</w:t>
      </w:r>
    </w:p>
    <w:p>
      <w:pPr>
        <w:widowControl w:val="0"/>
        <w:tabs>
          <w:tab w:val="left" w:pos="7371"/>
        </w:tabs>
        <w:autoSpaceDE w:val="0"/>
        <w:autoSpaceDN w:val="0"/>
        <w:spacing w:line="560" w:lineRule="exact"/>
        <w:jc w:val="center"/>
        <w:outlineLvl w:val="9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各地区登革热媒介伊蚊成蚊密度监测结果（高密度）</w:t>
      </w:r>
    </w:p>
    <w:p>
      <w:pPr>
        <w:widowControl w:val="0"/>
        <w:tabs>
          <w:tab w:val="left" w:pos="7371"/>
        </w:tabs>
        <w:autoSpaceDE w:val="0"/>
        <w:autoSpaceDN w:val="0"/>
        <w:spacing w:line="560" w:lineRule="exact"/>
        <w:jc w:val="center"/>
        <w:outlineLvl w:val="9"/>
        <w:rPr>
          <w:rFonts w:hint="default" w:ascii="Times New Roman" w:hAnsi="Times New Roman" w:eastAsia="黑体" w:cs="Times New Roman"/>
          <w:sz w:val="32"/>
          <w:szCs w:val="24"/>
        </w:rPr>
      </w:pPr>
    </w:p>
    <w:tbl>
      <w:tblPr>
        <w:tblStyle w:val="3"/>
        <w:tblW w:w="89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1152"/>
        <w:gridCol w:w="1259"/>
        <w:gridCol w:w="4145"/>
        <w:gridCol w:w="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tblHeader/>
          <w:jc w:val="center"/>
        </w:trPr>
        <w:tc>
          <w:tcPr>
            <w:tcW w:w="1522" w:type="dxa"/>
            <w:vAlign w:val="top"/>
          </w:tcPr>
          <w:p>
            <w:pPr>
              <w:widowControl/>
              <w:spacing w:line="400" w:lineRule="exact"/>
              <w:ind w:right="-107" w:rightChars="-51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</w:rPr>
              <w:t>监测日期</w:t>
            </w:r>
          </w:p>
        </w:tc>
        <w:tc>
          <w:tcPr>
            <w:tcW w:w="1152" w:type="dxa"/>
            <w:vAlign w:val="top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</w:rPr>
              <w:t>地市</w:t>
            </w:r>
          </w:p>
        </w:tc>
        <w:tc>
          <w:tcPr>
            <w:tcW w:w="1259" w:type="dxa"/>
            <w:vAlign w:val="top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</w:rPr>
              <w:t>县（区）</w:t>
            </w:r>
          </w:p>
        </w:tc>
        <w:tc>
          <w:tcPr>
            <w:tcW w:w="4145" w:type="dxa"/>
            <w:vAlign w:val="top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</w:rPr>
              <w:t>街（镇）</w:t>
            </w:r>
          </w:p>
        </w:tc>
        <w:tc>
          <w:tcPr>
            <w:tcW w:w="862" w:type="dxa"/>
            <w:vAlign w:val="center"/>
          </w:tcPr>
          <w:p>
            <w:pPr>
              <w:widowControl/>
              <w:spacing w:line="400" w:lineRule="exact"/>
              <w:ind w:right="-84" w:rightChars="-40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  <w:t>MO</w:t>
            </w:r>
            <w:r>
              <w:rPr>
                <w:rFonts w:ascii="Times New Roman" w:hAnsi="Times New Roman" w:eastAsia="仿宋" w:cs="Times New Roman"/>
                <w:b/>
                <w:kern w:val="0"/>
                <w:sz w:val="24"/>
              </w:rPr>
              <w:t>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522" w:type="dxa"/>
            <w:vMerge w:val="restart"/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2018年7月</w:t>
            </w:r>
          </w:p>
          <w:p>
            <w:pPr>
              <w:spacing w:line="400" w:lineRule="exact"/>
              <w:ind w:right="-107" w:rightChars="-51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上半月</w:t>
            </w:r>
          </w:p>
        </w:tc>
        <w:tc>
          <w:tcPr>
            <w:tcW w:w="115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广州市</w:t>
            </w:r>
          </w:p>
        </w:tc>
        <w:tc>
          <w:tcPr>
            <w:tcW w:w="125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荔湾区</w:t>
            </w:r>
          </w:p>
        </w:tc>
        <w:tc>
          <w:tcPr>
            <w:tcW w:w="4145" w:type="dxa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西村街仓库、中学</w:t>
            </w:r>
          </w:p>
        </w:tc>
        <w:tc>
          <w:tcPr>
            <w:tcW w:w="862" w:type="dxa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522" w:type="dxa"/>
            <w:vMerge w:val="continue"/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西村街协和、西湾居委</w:t>
            </w:r>
          </w:p>
        </w:tc>
        <w:tc>
          <w:tcPr>
            <w:tcW w:w="862" w:type="dxa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522" w:type="dxa"/>
            <w:vMerge w:val="continue"/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多宝街泰华社区</w:t>
            </w:r>
          </w:p>
        </w:tc>
        <w:tc>
          <w:tcPr>
            <w:tcW w:w="862" w:type="dxa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522" w:type="dxa"/>
            <w:vMerge w:val="continue"/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越秀区</w:t>
            </w:r>
          </w:p>
        </w:tc>
        <w:tc>
          <w:tcPr>
            <w:tcW w:w="4145" w:type="dxa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农林街中山大学</w:t>
            </w:r>
          </w:p>
        </w:tc>
        <w:tc>
          <w:tcPr>
            <w:tcW w:w="862" w:type="dxa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522" w:type="dxa"/>
            <w:vMerge w:val="continue"/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白云街发展公园及传祺公园</w:t>
            </w:r>
          </w:p>
        </w:tc>
        <w:tc>
          <w:tcPr>
            <w:tcW w:w="862" w:type="dxa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28.21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522" w:type="dxa"/>
            <w:vMerge w:val="continue"/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白云街筑南、广九、花园新村、东湖新村</w:t>
            </w:r>
          </w:p>
        </w:tc>
        <w:tc>
          <w:tcPr>
            <w:tcW w:w="862" w:type="dxa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38.98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522" w:type="dxa"/>
            <w:vMerge w:val="continue"/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流花街兰圃公园</w:t>
            </w:r>
          </w:p>
        </w:tc>
        <w:tc>
          <w:tcPr>
            <w:tcW w:w="862" w:type="dxa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522" w:type="dxa"/>
            <w:vMerge w:val="continue"/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流花街陆总医院居民区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522" w:type="dxa"/>
            <w:vMerge w:val="continue"/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流花街桂花岗、桂花苑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522" w:type="dxa"/>
            <w:vMerge w:val="continue"/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流花街爱尔眼科医院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1522" w:type="dxa"/>
            <w:vMerge w:val="continue"/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农林街东园新村、竹丝岗、竹丝岗二马路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522" w:type="dxa"/>
            <w:vMerge w:val="continue"/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天河区</w:t>
            </w:r>
          </w:p>
        </w:tc>
        <w:tc>
          <w:tcPr>
            <w:tcW w:w="4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冼村街体育东路小学（中校区）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522" w:type="dxa"/>
            <w:vMerge w:val="continue"/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白云区</w:t>
            </w:r>
          </w:p>
        </w:tc>
        <w:tc>
          <w:tcPr>
            <w:tcW w:w="4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黄石街马务绿化广场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522" w:type="dxa"/>
            <w:vMerge w:val="continue"/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番禺区</w:t>
            </w:r>
          </w:p>
        </w:tc>
        <w:tc>
          <w:tcPr>
            <w:tcW w:w="4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洛浦街海滨花园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31.91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522" w:type="dxa"/>
            <w:vMerge w:val="continue"/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桥南街南区公园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522" w:type="dxa"/>
            <w:vMerge w:val="continue"/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15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东环街番禺儿童公园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24.49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522" w:type="dxa"/>
            <w:vMerge w:val="continue"/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152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深圳市</w:t>
            </w:r>
          </w:p>
        </w:tc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宝安区</w:t>
            </w:r>
          </w:p>
        </w:tc>
        <w:tc>
          <w:tcPr>
            <w:tcW w:w="4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新安街道办龙井社区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522" w:type="dxa"/>
            <w:vMerge w:val="continue"/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15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松岗街道办溪头公园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24.56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522" w:type="dxa"/>
            <w:vMerge w:val="continue"/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15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燕罗街道办麒麟公园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37.93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522" w:type="dxa"/>
            <w:vMerge w:val="continue"/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15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盐田区</w:t>
            </w:r>
          </w:p>
        </w:tc>
        <w:tc>
          <w:tcPr>
            <w:tcW w:w="4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海山办事处海山公园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522" w:type="dxa"/>
            <w:vMerge w:val="continue"/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15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光明新区</w:t>
            </w:r>
          </w:p>
        </w:tc>
        <w:tc>
          <w:tcPr>
            <w:tcW w:w="4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玉塘街道办明湖城市公园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522" w:type="dxa"/>
            <w:vMerge w:val="continue"/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15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坪山区</w:t>
            </w:r>
          </w:p>
        </w:tc>
        <w:tc>
          <w:tcPr>
            <w:tcW w:w="4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马峦街道办大山坡公园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25.51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522" w:type="dxa"/>
            <w:vMerge w:val="continue"/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15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坑梓街道办三洋湖公园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522" w:type="dxa"/>
            <w:vMerge w:val="continue"/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152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佛山市</w:t>
            </w:r>
          </w:p>
        </w:tc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禅城区</w:t>
            </w:r>
          </w:p>
        </w:tc>
        <w:tc>
          <w:tcPr>
            <w:tcW w:w="4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石湾街道金子苑社区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522" w:type="dxa"/>
            <w:vMerge w:val="continue"/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15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石湾街道惠景社区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522" w:type="dxa"/>
            <w:vMerge w:val="continue"/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15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南海区</w:t>
            </w:r>
          </w:p>
        </w:tc>
        <w:tc>
          <w:tcPr>
            <w:tcW w:w="4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大沥镇雅瑶居委会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27.59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522" w:type="dxa"/>
            <w:vMerge w:val="continue"/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15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顺德区</w:t>
            </w:r>
          </w:p>
        </w:tc>
        <w:tc>
          <w:tcPr>
            <w:tcW w:w="4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北窖镇碧桂园社区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28.81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522" w:type="dxa"/>
            <w:vMerge w:val="continue"/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15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龙江镇新华西村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20.34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522" w:type="dxa"/>
            <w:vMerge w:val="continue"/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15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龙江镇苏溪村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28.81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522" w:type="dxa"/>
            <w:vMerge w:val="continue"/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15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三水区</w:t>
            </w:r>
          </w:p>
        </w:tc>
        <w:tc>
          <w:tcPr>
            <w:tcW w:w="4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云东海街道高丰公园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22.22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522" w:type="dxa"/>
            <w:vMerge w:val="continue"/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韶关市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翁源县</w:t>
            </w:r>
          </w:p>
        </w:tc>
        <w:tc>
          <w:tcPr>
            <w:tcW w:w="4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龙仙镇翁江新城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1522" w:type="dxa"/>
            <w:vMerge w:val="continue"/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中山市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三乡镇颐老院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48.00 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E64155"/>
    <w:rsid w:val="5AE6415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2018-07-26T08:37:00Z</dcterms:created>
  <dc:creator>Administrator</dc:creator>
  <cp:lastModifiedBy>Administrator</cp:lastModifiedBy>
  <dcterms:modified xsi:type="dcterms:W3CDTF">2018-07-26T08:39:12Z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